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04AB6" w14:textId="0B5BD1AE" w:rsidR="0094621D" w:rsidRDefault="0094621D" w:rsidP="0094621D">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102</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A91E82">
        <w:rPr>
          <w:rFonts w:ascii="Arial" w:hAnsi="Arial" w:cs="Arial"/>
          <w:b/>
          <w:sz w:val="24"/>
          <w:szCs w:val="28"/>
          <w:lang w:val="en-US"/>
        </w:rPr>
        <w:t>4647</w:t>
      </w:r>
    </w:p>
    <w:p w14:paraId="039F06D5" w14:textId="77777777" w:rsidR="0094621D" w:rsidRPr="001D2FBF" w:rsidRDefault="0094621D" w:rsidP="0094621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Feb. 2</w:t>
      </w:r>
      <w:r w:rsidRPr="00B23518">
        <w:rPr>
          <w:rFonts w:ascii="Arial" w:eastAsia="宋体" w:hAnsi="Arial" w:cs="Arial"/>
          <w:b/>
          <w:sz w:val="24"/>
          <w:szCs w:val="24"/>
          <w:lang w:eastAsia="zh-CN"/>
        </w:rPr>
        <w:t>1-</w:t>
      </w:r>
      <w:r>
        <w:rPr>
          <w:rFonts w:ascii="Arial" w:eastAsia="宋体" w:hAnsi="Arial" w:cs="Arial"/>
          <w:b/>
          <w:sz w:val="24"/>
          <w:szCs w:val="24"/>
          <w:lang w:eastAsia="zh-CN"/>
        </w:rPr>
        <w:t xml:space="preserve"> Mar. 3</w:t>
      </w:r>
      <w:r w:rsidRPr="001D2FBF">
        <w:rPr>
          <w:rFonts w:ascii="Arial" w:hAnsi="Arial" w:cs="Arial"/>
          <w:b/>
          <w:sz w:val="24"/>
          <w:szCs w:val="28"/>
          <w:lang w:val="en-US"/>
        </w:rPr>
        <w:t>, 202</w:t>
      </w:r>
      <w:r>
        <w:rPr>
          <w:rFonts w:ascii="Arial" w:hAnsi="Arial" w:cs="Arial"/>
          <w:b/>
          <w:sz w:val="24"/>
          <w:szCs w:val="28"/>
          <w:lang w:val="en-US"/>
        </w:rPr>
        <w:t>2</w:t>
      </w:r>
    </w:p>
    <w:bookmarkEnd w:id="1"/>
    <w:p w14:paraId="18C371F7" w14:textId="687DADBD" w:rsidR="002150FD" w:rsidRPr="00AB4182" w:rsidRDefault="002150FD" w:rsidP="002150F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621D">
        <w:rPr>
          <w:rFonts w:ascii="Arial" w:hAnsi="Arial" w:cs="Arial"/>
          <w:color w:val="000000"/>
          <w:sz w:val="22"/>
          <w:lang w:eastAsia="zh-CN"/>
        </w:rPr>
        <w:t>10</w:t>
      </w:r>
      <w:r>
        <w:rPr>
          <w:rFonts w:ascii="Arial" w:hAnsi="Arial" w:cs="Arial" w:hint="eastAsia"/>
          <w:color w:val="000000"/>
          <w:sz w:val="22"/>
          <w:lang w:eastAsia="zh-CN"/>
        </w:rPr>
        <w:t>.</w:t>
      </w:r>
      <w:r>
        <w:rPr>
          <w:rFonts w:ascii="Arial" w:hAnsi="Arial" w:cs="Arial"/>
          <w:color w:val="000000"/>
          <w:sz w:val="22"/>
          <w:lang w:eastAsia="zh-CN"/>
        </w:rPr>
        <w:t>23</w:t>
      </w:r>
      <w:r>
        <w:rPr>
          <w:rFonts w:ascii="Arial" w:hAnsi="Arial" w:cs="Arial" w:hint="eastAsia"/>
          <w:color w:val="000000"/>
          <w:sz w:val="22"/>
          <w:lang w:eastAsia="zh-CN"/>
        </w:rPr>
        <w:t>.</w:t>
      </w:r>
      <w:r>
        <w:rPr>
          <w:rFonts w:ascii="Arial" w:hAnsi="Arial" w:cs="Arial"/>
          <w:color w:val="000000"/>
          <w:sz w:val="22"/>
          <w:lang w:eastAsia="zh-CN"/>
        </w:rPr>
        <w:t>2</w:t>
      </w:r>
      <w:r>
        <w:rPr>
          <w:rFonts w:ascii="Arial" w:hAnsi="Arial" w:cs="Arial" w:hint="eastAsia"/>
          <w:color w:val="000000"/>
          <w:sz w:val="22"/>
          <w:lang w:eastAsia="zh-CN"/>
        </w:rPr>
        <w:t>.</w:t>
      </w:r>
      <w:r>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2AAA4E1"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_Hlk77685904"/>
      <w:r w:rsidR="002150FD">
        <w:rPr>
          <w:rFonts w:ascii="Arial" w:hAnsi="Arial" w:cs="Arial"/>
          <w:color w:val="000000"/>
          <w:sz w:val="22"/>
          <w:lang w:eastAsia="zh-CN"/>
        </w:rPr>
        <w:t>Further discussion</w:t>
      </w:r>
      <w:r w:rsidR="001E2561">
        <w:rPr>
          <w:rFonts w:ascii="Arial" w:hAnsi="Arial" w:cs="Arial"/>
          <w:color w:val="000000"/>
          <w:sz w:val="22"/>
          <w:lang w:eastAsia="zh-CN"/>
        </w:rPr>
        <w:t xml:space="preserve"> on </w:t>
      </w:r>
      <w:r w:rsidR="001241F6">
        <w:rPr>
          <w:rFonts w:ascii="Arial" w:hAnsi="Arial" w:cs="Arial"/>
          <w:color w:val="000000"/>
          <w:sz w:val="22"/>
          <w:lang w:eastAsia="zh-CN"/>
        </w:rPr>
        <w:t>propagation delay compensation enhancements</w:t>
      </w:r>
      <w:bookmarkEnd w:id="2"/>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3" w:name="OLE_LINK13"/>
      <w:bookmarkStart w:id="4" w:name="OLE_LINK14"/>
      <w:r w:rsidRPr="001D2FBF">
        <w:rPr>
          <w:sz w:val="36"/>
          <w:szCs w:val="36"/>
        </w:rPr>
        <w:t>Introduction</w:t>
      </w:r>
    </w:p>
    <w:p w14:paraId="11CB6230" w14:textId="471152E3" w:rsidR="00D95CAE" w:rsidRDefault="006E5041" w:rsidP="00BB0A7A">
      <w:pPr>
        <w:spacing w:before="120" w:after="0"/>
        <w:rPr>
          <w:sz w:val="22"/>
          <w:szCs w:val="22"/>
          <w:lang w:val="en-US" w:eastAsia="zh-CN"/>
        </w:rPr>
      </w:pPr>
      <w:r>
        <w:rPr>
          <w:sz w:val="22"/>
          <w:szCs w:val="22"/>
          <w:lang w:val="en-US"/>
        </w:rPr>
        <w:t xml:space="preserve">In the </w:t>
      </w:r>
      <w:r w:rsidR="009B0FAF">
        <w:rPr>
          <w:sz w:val="22"/>
          <w:szCs w:val="22"/>
          <w:lang w:val="en-US"/>
        </w:rPr>
        <w:t>RAN4#10</w:t>
      </w:r>
      <w:r w:rsidR="00F312D1">
        <w:rPr>
          <w:sz w:val="22"/>
          <w:szCs w:val="22"/>
          <w:lang w:val="en-US"/>
        </w:rPr>
        <w:t>1</w:t>
      </w:r>
      <w:r w:rsidR="009B0FAF">
        <w:rPr>
          <w:sz w:val="22"/>
          <w:szCs w:val="22"/>
          <w:lang w:val="en-US"/>
        </w:rPr>
        <w:t>-</w:t>
      </w:r>
      <w:r w:rsidR="003A4388">
        <w:rPr>
          <w:sz w:val="22"/>
          <w:szCs w:val="22"/>
          <w:lang w:val="en-US"/>
        </w:rPr>
        <w:t>bis-</w:t>
      </w:r>
      <w:r w:rsidR="009B0FAF">
        <w:rPr>
          <w:sz w:val="22"/>
          <w:szCs w:val="22"/>
          <w:lang w:val="en-US"/>
        </w:rPr>
        <w:t>e meeting, there</w:t>
      </w:r>
      <w:r w:rsidR="009B0FAF" w:rsidRPr="009B0FAF">
        <w:rPr>
          <w:sz w:val="22"/>
          <w:szCs w:val="22"/>
          <w:lang w:val="en-US"/>
        </w:rPr>
        <w:t xml:space="preserve"> </w:t>
      </w:r>
      <w:r w:rsidR="009B0FAF">
        <w:rPr>
          <w:sz w:val="22"/>
          <w:szCs w:val="22"/>
          <w:lang w:val="en-US"/>
        </w:rPr>
        <w:t xml:space="preserve">were discussions on </w:t>
      </w:r>
      <w:r w:rsidR="003A4388">
        <w:rPr>
          <w:sz w:val="22"/>
          <w:szCs w:val="22"/>
          <w:lang w:val="en-US"/>
        </w:rPr>
        <w:t xml:space="preserve">RRM requirements for RTT based </w:t>
      </w:r>
      <w:r w:rsidR="009B0FAF">
        <w:rPr>
          <w:sz w:val="22"/>
          <w:szCs w:val="22"/>
          <w:lang w:val="en-US"/>
        </w:rPr>
        <w:t>propagation delay compensation</w:t>
      </w:r>
      <w:r w:rsidR="00204CD9">
        <w:rPr>
          <w:rFonts w:hint="eastAsia"/>
          <w:sz w:val="22"/>
          <w:szCs w:val="22"/>
          <w:lang w:val="en-US" w:eastAsia="zh-CN"/>
        </w:rPr>
        <w:t>.</w:t>
      </w:r>
      <w:r w:rsidR="00204CD9">
        <w:rPr>
          <w:sz w:val="22"/>
          <w:szCs w:val="22"/>
          <w:lang w:val="en-US" w:eastAsia="zh-CN"/>
        </w:rPr>
        <w:t xml:space="preserve"> The </w:t>
      </w:r>
      <w:r w:rsidR="009B0FAF">
        <w:rPr>
          <w:sz w:val="22"/>
          <w:szCs w:val="22"/>
          <w:lang w:val="en-US"/>
        </w:rPr>
        <w:t>agreements</w:t>
      </w:r>
      <w:r w:rsidR="00204CD9">
        <w:rPr>
          <w:sz w:val="22"/>
          <w:szCs w:val="22"/>
          <w:lang w:val="en-US"/>
        </w:rPr>
        <w:t>/conclusions</w:t>
      </w:r>
      <w:r w:rsidR="003A4388">
        <w:rPr>
          <w:sz w:val="22"/>
          <w:szCs w:val="22"/>
          <w:lang w:val="en-US"/>
        </w:rPr>
        <w:t>/open issues</w:t>
      </w:r>
      <w:r w:rsidR="009B0FAF">
        <w:rPr>
          <w:sz w:val="22"/>
          <w:szCs w:val="22"/>
          <w:lang w:val="en-US"/>
        </w:rPr>
        <w:t xml:space="preserve"> were captured in [1].</w:t>
      </w:r>
      <w:r w:rsidR="003A4388">
        <w:rPr>
          <w:sz w:val="22"/>
          <w:szCs w:val="22"/>
          <w:lang w:val="en-US"/>
        </w:rPr>
        <w:t xml:space="preserve"> Following agreements were made on </w:t>
      </w:r>
      <w:r w:rsidR="00D45F2F">
        <w:rPr>
          <w:sz w:val="22"/>
          <w:szCs w:val="22"/>
          <w:lang w:val="en-US"/>
        </w:rPr>
        <w:t>defin</w:t>
      </w:r>
      <w:r w:rsidR="003A4388">
        <w:rPr>
          <w:sz w:val="22"/>
          <w:szCs w:val="22"/>
          <w:lang w:val="en-US"/>
        </w:rPr>
        <w:t>ing cor</w:t>
      </w:r>
      <w:r w:rsidR="00D45F2F">
        <w:rPr>
          <w:sz w:val="22"/>
          <w:szCs w:val="22"/>
          <w:lang w:val="en-US"/>
        </w:rPr>
        <w:t xml:space="preserve">responding requirements </w:t>
      </w:r>
      <w:r w:rsidR="002D332A">
        <w:rPr>
          <w:sz w:val="22"/>
          <w:szCs w:val="22"/>
          <w:lang w:val="en-US"/>
        </w:rPr>
        <w:t>for RTT-based PDC.</w:t>
      </w:r>
    </w:p>
    <w:tbl>
      <w:tblPr>
        <w:tblStyle w:val="TableGrid"/>
        <w:tblW w:w="0" w:type="auto"/>
        <w:tblLook w:val="04A0" w:firstRow="1" w:lastRow="0" w:firstColumn="1" w:lastColumn="0" w:noHBand="0" w:noVBand="1"/>
      </w:tblPr>
      <w:tblGrid>
        <w:gridCol w:w="9629"/>
      </w:tblGrid>
      <w:tr w:rsidR="00D95CAE" w14:paraId="4CDE16E3" w14:textId="77777777" w:rsidTr="00D95CAE">
        <w:tc>
          <w:tcPr>
            <w:tcW w:w="9629" w:type="dxa"/>
          </w:tcPr>
          <w:p w14:paraId="3AA2E719" w14:textId="77777777" w:rsidR="000306F8" w:rsidRDefault="000306F8" w:rsidP="000306F8">
            <w:pPr>
              <w:rPr>
                <w:lang w:eastAsia="ja-JP"/>
              </w:rPr>
            </w:pPr>
            <w:r>
              <w:rPr>
                <w:lang w:eastAsia="ja-JP"/>
              </w:rPr>
              <w:t>Agreement:</w:t>
            </w:r>
          </w:p>
          <w:p w14:paraId="16887B3B" w14:textId="77777777" w:rsidR="000306F8" w:rsidRPr="00BC3D71" w:rsidRDefault="000306F8" w:rsidP="00762B49">
            <w:pPr>
              <w:numPr>
                <w:ilvl w:val="0"/>
                <w:numId w:val="16"/>
              </w:numPr>
              <w:rPr>
                <w:bCs/>
                <w:lang w:val="en-US" w:eastAsia="ja-JP"/>
              </w:rPr>
            </w:pPr>
            <w:r w:rsidRPr="00BC3D71">
              <w:rPr>
                <w:bCs/>
                <w:lang w:val="en-US" w:eastAsia="ja-JP"/>
              </w:rPr>
              <w:t>Agree that RAN4 will not down prioritize of RTT-based propagation delay compensation based on UE Rx-Tx time difference measurement accuracy using CSI-RS for tracking</w:t>
            </w:r>
          </w:p>
          <w:p w14:paraId="1E8C9861" w14:textId="44E9D2DE" w:rsidR="000306F8" w:rsidRPr="00BC3D71" w:rsidRDefault="000306F8" w:rsidP="00762B49">
            <w:pPr>
              <w:numPr>
                <w:ilvl w:val="0"/>
                <w:numId w:val="16"/>
              </w:numPr>
              <w:rPr>
                <w:bCs/>
                <w:lang w:val="en-US" w:eastAsia="ja-JP"/>
              </w:rPr>
            </w:pPr>
            <w:bookmarkStart w:id="5" w:name="_Hlk93525196"/>
            <w:r w:rsidRPr="00BC3D71">
              <w:rPr>
                <w:bCs/>
                <w:lang w:val="en-US" w:eastAsia="ja-JP"/>
              </w:rPr>
              <w:t xml:space="preserve">Agree that RAN4 can reuse </w:t>
            </w:r>
            <w:proofErr w:type="spellStart"/>
            <w:r w:rsidRPr="00BC3D71">
              <w:rPr>
                <w:bCs/>
                <w:lang w:val="en-US" w:eastAsia="ja-JP"/>
              </w:rPr>
              <w:t>gNB</w:t>
            </w:r>
            <w:proofErr w:type="spellEnd"/>
            <w:r w:rsidRPr="00BC3D71">
              <w:rPr>
                <w:bCs/>
                <w:lang w:val="en-US" w:eastAsia="ja-JP"/>
              </w:rPr>
              <w:t xml:space="preserve"> Rx-Tx time difference absolute accuracy based on SRS, from release 16 specification for RTT-based PDC</w:t>
            </w:r>
            <w:bookmarkEnd w:id="5"/>
          </w:p>
          <w:p w14:paraId="322726CD" w14:textId="1609C66D" w:rsidR="000306F8" w:rsidRPr="00BC3D71" w:rsidRDefault="000306F8" w:rsidP="00762B49">
            <w:pPr>
              <w:numPr>
                <w:ilvl w:val="0"/>
                <w:numId w:val="16"/>
              </w:numPr>
              <w:rPr>
                <w:bCs/>
                <w:lang w:val="en-US" w:eastAsia="ja-JP"/>
              </w:rPr>
            </w:pPr>
            <w:bookmarkStart w:id="6" w:name="_Hlk93864361"/>
            <w:r w:rsidRPr="00BC3D71">
              <w:rPr>
                <w:bCs/>
                <w:lang w:val="en-US" w:eastAsia="ja-JP"/>
              </w:rPr>
              <w:t>RAN4 assume that scheduling restriction is not required for UE Rx-Tx measurement, provided that UE is not required measure TRS/PRS outside the active BWP, and the SCS of the TRS/PRS is same as the active BWP.</w:t>
            </w:r>
          </w:p>
          <w:p w14:paraId="23084F3B" w14:textId="100E03D1" w:rsidR="000306F8" w:rsidRPr="00BC3D71" w:rsidRDefault="000306F8" w:rsidP="00762B49">
            <w:pPr>
              <w:numPr>
                <w:ilvl w:val="1"/>
                <w:numId w:val="16"/>
              </w:numPr>
              <w:rPr>
                <w:bCs/>
                <w:lang w:val="en-US" w:eastAsia="ja-JP"/>
              </w:rPr>
            </w:pPr>
            <w:r w:rsidRPr="00BC3D71">
              <w:rPr>
                <w:bCs/>
                <w:lang w:val="en-US" w:eastAsia="ja-JP"/>
              </w:rPr>
              <w:t>This can be revisited in next meeting if companies find that such assumption is not feasible.</w:t>
            </w:r>
          </w:p>
          <w:p w14:paraId="48D02971" w14:textId="55CF0764" w:rsidR="000306F8" w:rsidRPr="00BC3D71" w:rsidRDefault="000306F8" w:rsidP="00762B49">
            <w:pPr>
              <w:numPr>
                <w:ilvl w:val="0"/>
                <w:numId w:val="16"/>
              </w:numPr>
              <w:rPr>
                <w:bCs/>
                <w:lang w:val="en-US" w:eastAsia="ja-JP"/>
              </w:rPr>
            </w:pPr>
            <w:bookmarkStart w:id="7" w:name="_Hlk93864333"/>
            <w:bookmarkEnd w:id="6"/>
            <w:r w:rsidRPr="00BC3D71">
              <w:rPr>
                <w:bCs/>
                <w:lang w:val="en-US" w:eastAsia="ja-JP"/>
              </w:rPr>
              <w:t>RAN4 assume that MG is not required for UE Rx-Tx measurement, provided that UE is not required measure TRS/PRS outside the active BWP, and the SCS of the TRS/PRS is same as the active BWP.</w:t>
            </w:r>
          </w:p>
          <w:p w14:paraId="74D2AEF0" w14:textId="025B5841" w:rsidR="000306F8" w:rsidRPr="00BC3D71" w:rsidRDefault="000306F8" w:rsidP="00762B49">
            <w:pPr>
              <w:numPr>
                <w:ilvl w:val="1"/>
                <w:numId w:val="16"/>
              </w:numPr>
              <w:rPr>
                <w:bCs/>
                <w:lang w:val="en-US" w:eastAsia="ja-JP"/>
              </w:rPr>
            </w:pPr>
            <w:r w:rsidRPr="00BC3D71">
              <w:rPr>
                <w:bCs/>
                <w:lang w:val="en-US" w:eastAsia="ja-JP"/>
              </w:rPr>
              <w:t xml:space="preserve">This can be revisited in next meeting if companies find that such assumption is not feasible. </w:t>
            </w:r>
          </w:p>
          <w:bookmarkEnd w:id="7"/>
          <w:p w14:paraId="3BACD3A8" w14:textId="77777777" w:rsidR="00BC3D71" w:rsidRPr="00AE226A" w:rsidRDefault="00BC3D71" w:rsidP="00762B49">
            <w:pPr>
              <w:numPr>
                <w:ilvl w:val="0"/>
                <w:numId w:val="16"/>
              </w:numPr>
              <w:rPr>
                <w:bCs/>
                <w:lang w:val="en-US" w:eastAsia="ja-JP"/>
              </w:rPr>
            </w:pPr>
            <w:r w:rsidRPr="00AE226A">
              <w:rPr>
                <w:bCs/>
                <w:lang w:val="en-US" w:eastAsia="ja-JP"/>
              </w:rPr>
              <w:t>Rel-17 PDC RTT-based method using PRS as the DL reference signal</w:t>
            </w:r>
          </w:p>
          <w:p w14:paraId="7040A95F" w14:textId="77777777" w:rsidR="00BC3D71" w:rsidRPr="00AE226A" w:rsidRDefault="00BC3D71" w:rsidP="00762B49">
            <w:pPr>
              <w:numPr>
                <w:ilvl w:val="1"/>
                <w:numId w:val="16"/>
              </w:numPr>
              <w:rPr>
                <w:bCs/>
                <w:lang w:val="en-US" w:eastAsia="ja-JP"/>
              </w:rPr>
            </w:pPr>
            <w:r w:rsidRPr="00AE226A">
              <w:rPr>
                <w:bCs/>
                <w:lang w:val="en-US" w:eastAsia="ja-JP"/>
              </w:rPr>
              <w:t>Reuse the side conditions defined in TS 38.133-10.1.25.2</w:t>
            </w:r>
          </w:p>
          <w:p w14:paraId="7BAE9D71" w14:textId="77777777" w:rsidR="00BC3D71" w:rsidRPr="00AE226A" w:rsidRDefault="00BC3D71" w:rsidP="00762B49">
            <w:pPr>
              <w:numPr>
                <w:ilvl w:val="2"/>
                <w:numId w:val="16"/>
              </w:numPr>
              <w:rPr>
                <w:bCs/>
                <w:lang w:val="en-US" w:eastAsia="ja-JP"/>
              </w:rPr>
            </w:pPr>
            <w:r w:rsidRPr="00AE226A">
              <w:rPr>
                <w:bCs/>
                <w:lang w:val="en-US" w:eastAsia="ja-JP"/>
              </w:rPr>
              <w:t>AWGN channel is assumed</w:t>
            </w:r>
          </w:p>
          <w:p w14:paraId="74DAE2AC" w14:textId="77777777" w:rsidR="00BC3D71" w:rsidRPr="00AE226A" w:rsidRDefault="00BC3D71" w:rsidP="00762B49">
            <w:pPr>
              <w:numPr>
                <w:ilvl w:val="2"/>
                <w:numId w:val="16"/>
              </w:numPr>
              <w:rPr>
                <w:bCs/>
                <w:lang w:val="en-US" w:eastAsia="ja-JP"/>
              </w:rPr>
            </w:pPr>
            <w:r w:rsidRPr="00AE226A">
              <w:rPr>
                <w:bCs/>
                <w:lang w:val="en-US" w:eastAsia="ja-JP"/>
              </w:rPr>
              <w:t>Es/</w:t>
            </w:r>
            <w:proofErr w:type="spellStart"/>
            <w:r w:rsidRPr="00AE226A">
              <w:rPr>
                <w:bCs/>
                <w:lang w:val="en-US" w:eastAsia="ja-JP"/>
              </w:rPr>
              <w:t>Iot</w:t>
            </w:r>
            <w:proofErr w:type="spellEnd"/>
            <w:r w:rsidRPr="00AE226A">
              <w:rPr>
                <w:bCs/>
                <w:lang w:val="en-US" w:eastAsia="ja-JP"/>
              </w:rPr>
              <w:t xml:space="preserve"> = -3 dB is assumed</w:t>
            </w:r>
          </w:p>
          <w:p w14:paraId="0C36CC9C" w14:textId="77777777" w:rsidR="00BC3D71" w:rsidRPr="00AE226A" w:rsidRDefault="00BC3D71" w:rsidP="00762B49">
            <w:pPr>
              <w:numPr>
                <w:ilvl w:val="2"/>
                <w:numId w:val="16"/>
              </w:numPr>
              <w:rPr>
                <w:bCs/>
                <w:lang w:val="en-US" w:eastAsia="ja-JP"/>
              </w:rPr>
            </w:pPr>
            <w:r w:rsidRPr="00AE226A">
              <w:rPr>
                <w:bCs/>
                <w:lang w:val="en-US" w:eastAsia="ja-JP"/>
              </w:rPr>
              <w:t>Further discuss if other channels and candidate Es/</w:t>
            </w:r>
            <w:proofErr w:type="spellStart"/>
            <w:r w:rsidRPr="00AE226A">
              <w:rPr>
                <w:bCs/>
                <w:lang w:val="en-US" w:eastAsia="ja-JP"/>
              </w:rPr>
              <w:t>Iot</w:t>
            </w:r>
            <w:proofErr w:type="spellEnd"/>
            <w:r w:rsidRPr="00AE226A">
              <w:rPr>
                <w:bCs/>
                <w:lang w:val="en-US" w:eastAsia="ja-JP"/>
              </w:rPr>
              <w:t xml:space="preserve"> values shall be considered.</w:t>
            </w:r>
          </w:p>
          <w:p w14:paraId="2D543458" w14:textId="77777777" w:rsidR="00BC3D71" w:rsidRPr="00AE226A" w:rsidRDefault="00BC3D71" w:rsidP="00762B49">
            <w:pPr>
              <w:numPr>
                <w:ilvl w:val="1"/>
                <w:numId w:val="16"/>
              </w:numPr>
              <w:rPr>
                <w:bCs/>
                <w:lang w:val="en-US" w:eastAsia="ja-JP"/>
              </w:rPr>
            </w:pPr>
            <w:r w:rsidRPr="00AE226A">
              <w:rPr>
                <w:bCs/>
                <w:lang w:val="en-US" w:eastAsia="ja-JP"/>
              </w:rPr>
              <w:t>[4] measurement samples are used for requirements definition</w:t>
            </w:r>
          </w:p>
          <w:p w14:paraId="3F6F1659" w14:textId="77777777" w:rsidR="00762B49" w:rsidRPr="00762B49" w:rsidRDefault="00762B49" w:rsidP="00762B49">
            <w:pPr>
              <w:numPr>
                <w:ilvl w:val="0"/>
                <w:numId w:val="16"/>
              </w:numPr>
              <w:rPr>
                <w:bCs/>
                <w:lang w:val="en-US" w:eastAsia="ja-JP"/>
              </w:rPr>
            </w:pPr>
            <w:bookmarkStart w:id="8" w:name="_Hlk93864297"/>
            <w:r w:rsidRPr="00762B49">
              <w:rPr>
                <w:bCs/>
                <w:lang w:val="en-US" w:eastAsia="ja-JP"/>
              </w:rPr>
              <w:t xml:space="preserve">RAN4 agree to reuse the existing side conditions and the serving cell </w:t>
            </w:r>
            <w:proofErr w:type="spellStart"/>
            <w:r w:rsidRPr="00762B49">
              <w:rPr>
                <w:bCs/>
                <w:lang w:val="en-US" w:eastAsia="ja-JP"/>
              </w:rPr>
              <w:t>gNB</w:t>
            </w:r>
            <w:proofErr w:type="spellEnd"/>
            <w:r w:rsidRPr="00762B49">
              <w:rPr>
                <w:bCs/>
                <w:lang w:val="en-US" w:eastAsia="ja-JP"/>
              </w:rPr>
              <w:t xml:space="preserve"> Rx-Tx time difference measurement accuracy requirements in TR 38.133 - 13.2.2 for Rel-17 PDC RTT method with the condition of Es/</w:t>
            </w:r>
            <w:proofErr w:type="spellStart"/>
            <w:r w:rsidRPr="00762B49">
              <w:rPr>
                <w:bCs/>
                <w:lang w:val="en-US" w:eastAsia="ja-JP"/>
              </w:rPr>
              <w:t>Iot</w:t>
            </w:r>
            <w:proofErr w:type="spellEnd"/>
            <w:r w:rsidRPr="00762B49">
              <w:rPr>
                <w:bCs/>
                <w:lang w:val="en-US" w:eastAsia="ja-JP"/>
              </w:rPr>
              <w:t xml:space="preserve"> of 3dB</w:t>
            </w:r>
            <w:bookmarkEnd w:id="8"/>
          </w:p>
          <w:p w14:paraId="6D79BFD8" w14:textId="77777777" w:rsidR="00762B49" w:rsidRPr="00762B49" w:rsidRDefault="00762B49" w:rsidP="00762B49">
            <w:pPr>
              <w:numPr>
                <w:ilvl w:val="0"/>
                <w:numId w:val="16"/>
              </w:numPr>
              <w:rPr>
                <w:bCs/>
                <w:lang w:val="en-US" w:eastAsia="ja-JP"/>
              </w:rPr>
            </w:pPr>
            <w:r w:rsidRPr="00762B49">
              <w:rPr>
                <w:bCs/>
                <w:lang w:val="en-US" w:eastAsia="ja-JP"/>
              </w:rPr>
              <w:t>FFS on simulation assumptions and whether to define requirements for FR2 with 60kHz and/or 120 kHz SCS</w:t>
            </w:r>
          </w:p>
          <w:p w14:paraId="48189B16" w14:textId="77777777" w:rsidR="00CC32B5" w:rsidRPr="006E7076" w:rsidRDefault="00CC32B5" w:rsidP="006E7076">
            <w:pPr>
              <w:numPr>
                <w:ilvl w:val="0"/>
                <w:numId w:val="16"/>
              </w:numPr>
              <w:rPr>
                <w:bCs/>
                <w:lang w:val="en-US" w:eastAsia="ja-JP"/>
              </w:rPr>
            </w:pPr>
            <w:r w:rsidRPr="006E7076">
              <w:rPr>
                <w:bCs/>
                <w:lang w:val="en-US" w:eastAsia="ja-JP"/>
              </w:rPr>
              <w:t xml:space="preserve">For PDC RTT </w:t>
            </w:r>
            <w:proofErr w:type="spellStart"/>
            <w:r w:rsidRPr="006E7076">
              <w:rPr>
                <w:bCs/>
                <w:lang w:val="en-US" w:eastAsia="ja-JP"/>
              </w:rPr>
              <w:t>gNB</w:t>
            </w:r>
            <w:proofErr w:type="spellEnd"/>
            <w:r w:rsidRPr="006E7076">
              <w:rPr>
                <w:bCs/>
                <w:lang w:val="en-US" w:eastAsia="ja-JP"/>
              </w:rPr>
              <w:t xml:space="preserve"> Rx-Tx time difference measurement accuracy requirements re-use existing </w:t>
            </w:r>
            <w:proofErr w:type="spellStart"/>
            <w:r w:rsidRPr="006E7076">
              <w:rPr>
                <w:bCs/>
                <w:lang w:val="en-US" w:eastAsia="ja-JP"/>
              </w:rPr>
              <w:t>gNB</w:t>
            </w:r>
            <w:proofErr w:type="spellEnd"/>
            <w:r w:rsidRPr="006E7076">
              <w:rPr>
                <w:bCs/>
                <w:lang w:val="en-US" w:eastAsia="ja-JP"/>
              </w:rPr>
              <w:t xml:space="preserve"> Rx-Tx requirements for 3dB side condition and SCS 15/30kHz (Rel-17 38.133, 13.2.2).</w:t>
            </w:r>
          </w:p>
          <w:p w14:paraId="3FF2A4EE" w14:textId="77777777" w:rsidR="00CC32B5" w:rsidRPr="006E7076" w:rsidRDefault="00CC32B5" w:rsidP="006E7076">
            <w:pPr>
              <w:numPr>
                <w:ilvl w:val="1"/>
                <w:numId w:val="16"/>
              </w:numPr>
              <w:rPr>
                <w:bCs/>
                <w:lang w:val="en-US" w:eastAsia="ja-JP"/>
              </w:rPr>
            </w:pPr>
            <w:r w:rsidRPr="006E7076">
              <w:rPr>
                <w:bCs/>
                <w:lang w:val="en-US" w:eastAsia="ja-JP"/>
              </w:rPr>
              <w:t>FFS: 60KHz and FR2.</w:t>
            </w:r>
          </w:p>
          <w:p w14:paraId="6A15BB74" w14:textId="77777777" w:rsidR="00CC32B5" w:rsidRPr="006E7076" w:rsidRDefault="00CC32B5" w:rsidP="006E7076">
            <w:pPr>
              <w:numPr>
                <w:ilvl w:val="0"/>
                <w:numId w:val="16"/>
              </w:numPr>
              <w:rPr>
                <w:bCs/>
                <w:lang w:val="en-US" w:eastAsia="ja-JP"/>
              </w:rPr>
            </w:pPr>
            <w:r w:rsidRPr="007D2656">
              <w:rPr>
                <w:bCs/>
                <w:lang w:val="en-US" w:eastAsia="ja-JP"/>
              </w:rPr>
              <w:t xml:space="preserve">RAN4 agree to </w:t>
            </w:r>
            <w:r w:rsidRPr="006E7076">
              <w:rPr>
                <w:bCs/>
                <w:lang w:val="en-US" w:eastAsia="ja-JP"/>
              </w:rPr>
              <w:t>use the existing reporting range for UE Rx-Tx is re-used for PDC.</w:t>
            </w:r>
          </w:p>
          <w:p w14:paraId="6A50F1D6" w14:textId="77777777" w:rsidR="00CC32B5" w:rsidRPr="006E7076" w:rsidRDefault="00CC32B5" w:rsidP="006E7076">
            <w:pPr>
              <w:numPr>
                <w:ilvl w:val="0"/>
                <w:numId w:val="16"/>
              </w:numPr>
              <w:rPr>
                <w:bCs/>
                <w:lang w:val="en-US" w:eastAsia="ja-JP"/>
              </w:rPr>
            </w:pPr>
            <w:r w:rsidRPr="007D2656">
              <w:rPr>
                <w:bCs/>
                <w:lang w:val="en-US" w:eastAsia="ja-JP"/>
              </w:rPr>
              <w:t xml:space="preserve">RAN4 agree to </w:t>
            </w:r>
            <w:r w:rsidRPr="006E7076">
              <w:rPr>
                <w:bCs/>
                <w:lang w:val="en-US" w:eastAsia="ja-JP"/>
              </w:rPr>
              <w:t xml:space="preserve">use the existing reporting range for </w:t>
            </w:r>
            <w:proofErr w:type="spellStart"/>
            <w:r w:rsidRPr="006E7076">
              <w:rPr>
                <w:rFonts w:hint="eastAsia"/>
                <w:bCs/>
                <w:lang w:val="en-US" w:eastAsia="ja-JP"/>
              </w:rPr>
              <w:t>gNB</w:t>
            </w:r>
            <w:proofErr w:type="spellEnd"/>
            <w:r w:rsidRPr="006E7076">
              <w:rPr>
                <w:bCs/>
                <w:lang w:val="en-US" w:eastAsia="ja-JP"/>
              </w:rPr>
              <w:t xml:space="preserve"> Rx-Tx is re-used for PDC</w:t>
            </w:r>
          </w:p>
          <w:p w14:paraId="56566E9B" w14:textId="735B0818" w:rsidR="000306F8" w:rsidRPr="00D95CAE" w:rsidRDefault="00CC32B5" w:rsidP="006E7076">
            <w:pPr>
              <w:numPr>
                <w:ilvl w:val="0"/>
                <w:numId w:val="16"/>
              </w:numPr>
              <w:rPr>
                <w:sz w:val="22"/>
                <w:szCs w:val="22"/>
                <w:lang w:eastAsia="zh-CN"/>
              </w:rPr>
            </w:pPr>
            <w:bookmarkStart w:id="9" w:name="_Hlk93525641"/>
            <w:r w:rsidRPr="006E7076">
              <w:rPr>
                <w:bCs/>
                <w:lang w:val="en-US" w:eastAsia="ja-JP"/>
              </w:rPr>
              <w:t>RAN4 need link simulation study for defining UE Rx-Tx time difference measurement accuracy requirements based on TRS</w:t>
            </w:r>
            <w:bookmarkEnd w:id="9"/>
          </w:p>
        </w:tc>
      </w:tr>
    </w:tbl>
    <w:p w14:paraId="6FC1710D" w14:textId="1E8DDCBD" w:rsidR="0055506E" w:rsidRDefault="00CF5BC2" w:rsidP="00BB0A7A">
      <w:pPr>
        <w:spacing w:before="120" w:after="0"/>
        <w:rPr>
          <w:sz w:val="22"/>
          <w:szCs w:val="22"/>
          <w:lang w:val="en-US"/>
        </w:rPr>
      </w:pPr>
      <w:r>
        <w:rPr>
          <w:sz w:val="22"/>
          <w:szCs w:val="22"/>
          <w:lang w:val="en-US"/>
        </w:rPr>
        <w:lastRenderedPageBreak/>
        <w:t xml:space="preserve">In this contribution, we provide our views </w:t>
      </w:r>
      <w:r w:rsidR="002D332A">
        <w:rPr>
          <w:sz w:val="22"/>
          <w:szCs w:val="22"/>
          <w:lang w:val="en-US"/>
        </w:rPr>
        <w:t xml:space="preserve">on </w:t>
      </w:r>
      <w:r w:rsidR="00095ABE">
        <w:rPr>
          <w:sz w:val="22"/>
          <w:szCs w:val="22"/>
          <w:lang w:val="en-US"/>
        </w:rPr>
        <w:t xml:space="preserve">open issues of </w:t>
      </w:r>
      <w:r w:rsidR="002D332A">
        <w:rPr>
          <w:sz w:val="22"/>
          <w:szCs w:val="22"/>
          <w:lang w:val="en-US"/>
        </w:rPr>
        <w:t xml:space="preserve">requirements for RTT-based </w:t>
      </w:r>
      <w:r w:rsidR="005B43E4">
        <w:rPr>
          <w:sz w:val="22"/>
          <w:szCs w:val="22"/>
          <w:lang w:val="en-US"/>
        </w:rPr>
        <w:t>propagation delay compensation enhancements</w:t>
      </w:r>
      <w:r w:rsidR="00F21643">
        <w:rPr>
          <w:sz w:val="22"/>
          <w:szCs w:val="22"/>
          <w:lang w:val="en-US"/>
        </w:rPr>
        <w:t>.</w:t>
      </w:r>
      <w:r w:rsidR="009B0FAF">
        <w:rPr>
          <w:sz w:val="22"/>
          <w:szCs w:val="22"/>
          <w:lang w:val="en-US"/>
        </w:rPr>
        <w:t xml:space="preserve"> </w:t>
      </w:r>
    </w:p>
    <w:p w14:paraId="76B57B46" w14:textId="1C9CCD6D" w:rsidR="00CB610D" w:rsidRPr="001D2FBF" w:rsidRDefault="00496301" w:rsidP="00CB610D">
      <w:pPr>
        <w:pStyle w:val="Heading1"/>
        <w:numPr>
          <w:ilvl w:val="0"/>
          <w:numId w:val="1"/>
        </w:numPr>
        <w:spacing w:before="360" w:after="0"/>
        <w:ind w:left="357" w:hanging="357"/>
      </w:pPr>
      <w:r>
        <w:t>Discussion</w:t>
      </w:r>
    </w:p>
    <w:p w14:paraId="0A0D3836" w14:textId="09DFE2F3" w:rsidR="00F15898" w:rsidRPr="00702443" w:rsidRDefault="00F15898" w:rsidP="00D92642">
      <w:pPr>
        <w:spacing w:before="240" w:after="0"/>
        <w:rPr>
          <w:b/>
          <w:bCs/>
          <w:iCs/>
          <w:sz w:val="28"/>
          <w:szCs w:val="28"/>
          <w:u w:val="single"/>
          <w:lang w:eastAsia="zh-CN"/>
        </w:rPr>
      </w:pPr>
      <w:r w:rsidRPr="00702443">
        <w:rPr>
          <w:b/>
          <w:bCs/>
          <w:iCs/>
          <w:sz w:val="22"/>
          <w:szCs w:val="22"/>
          <w:u w:val="single"/>
        </w:rPr>
        <w:t>Measurement accuracy requirements – UE</w:t>
      </w:r>
    </w:p>
    <w:p w14:paraId="7953408A" w14:textId="669514A8" w:rsidR="00F15898" w:rsidRPr="00095ABE" w:rsidRDefault="00D354F1" w:rsidP="00D92642">
      <w:pPr>
        <w:spacing w:before="240" w:after="0"/>
        <w:rPr>
          <w:sz w:val="22"/>
          <w:szCs w:val="22"/>
          <w:lang w:eastAsia="zh-CN"/>
        </w:rPr>
      </w:pPr>
      <w:r>
        <w:rPr>
          <w:sz w:val="22"/>
          <w:szCs w:val="22"/>
          <w:lang w:eastAsia="zh-CN"/>
        </w:rPr>
        <w:t>There was discussion on how UE measurement accuracy requirements are specified. Especially, the measurement should be based on 1 sample or 4 samples. WF</w:t>
      </w:r>
    </w:p>
    <w:tbl>
      <w:tblPr>
        <w:tblStyle w:val="TableGrid"/>
        <w:tblW w:w="0" w:type="auto"/>
        <w:tblLook w:val="04A0" w:firstRow="1" w:lastRow="0" w:firstColumn="1" w:lastColumn="0" w:noHBand="0" w:noVBand="1"/>
      </w:tblPr>
      <w:tblGrid>
        <w:gridCol w:w="9629"/>
      </w:tblGrid>
      <w:tr w:rsidR="00CC32B5" w14:paraId="1B7D3181" w14:textId="77777777" w:rsidTr="00CC32B5">
        <w:tc>
          <w:tcPr>
            <w:tcW w:w="9629" w:type="dxa"/>
          </w:tcPr>
          <w:p w14:paraId="02F2913D" w14:textId="77777777" w:rsidR="00F15898" w:rsidRDefault="00F15898" w:rsidP="00F15898">
            <w:pPr>
              <w:pStyle w:val="CommentText"/>
            </w:pPr>
            <w:r>
              <w:t>WF for next meeting:</w:t>
            </w:r>
          </w:p>
          <w:p w14:paraId="2EBA8A1B" w14:textId="77777777" w:rsidR="00F15898" w:rsidRDefault="00F15898" w:rsidP="00F15898">
            <w:pPr>
              <w:pStyle w:val="CommentText"/>
            </w:pPr>
            <w:r>
              <w:t>PRS:</w:t>
            </w:r>
          </w:p>
          <w:p w14:paraId="45510973" w14:textId="77777777" w:rsidR="00F15898" w:rsidRDefault="00F15898" w:rsidP="00F15898">
            <w:pPr>
              <w:pStyle w:val="CommentText"/>
              <w:numPr>
                <w:ilvl w:val="0"/>
                <w:numId w:val="17"/>
              </w:numPr>
            </w:pPr>
            <w:r>
              <w:t>Shall RAN4 define requirements based on Rel-16 or Rel-17, or for Rel-16 and Rel-17 PRS?</w:t>
            </w:r>
          </w:p>
          <w:p w14:paraId="50E450E0" w14:textId="77777777" w:rsidR="00F15898" w:rsidRDefault="00F15898" w:rsidP="00F15898">
            <w:pPr>
              <w:pStyle w:val="CommentText"/>
              <w:numPr>
                <w:ilvl w:val="0"/>
                <w:numId w:val="17"/>
              </w:numPr>
            </w:pPr>
            <w:r>
              <w:t>Number of samples assumed (1 or 4 samples)?</w:t>
            </w:r>
          </w:p>
          <w:p w14:paraId="61FF81E2" w14:textId="77777777" w:rsidR="00F15898" w:rsidRDefault="00F15898" w:rsidP="00F15898">
            <w:pPr>
              <w:pStyle w:val="CommentText"/>
            </w:pPr>
            <w:r>
              <w:t>TRS:</w:t>
            </w:r>
          </w:p>
          <w:p w14:paraId="5961E439" w14:textId="547EEE23" w:rsidR="00CC32B5" w:rsidRDefault="00F15898" w:rsidP="00F15898">
            <w:pPr>
              <w:pStyle w:val="CommentText"/>
              <w:numPr>
                <w:ilvl w:val="0"/>
                <w:numId w:val="17"/>
              </w:numPr>
              <w:rPr>
                <w:sz w:val="22"/>
                <w:szCs w:val="22"/>
                <w:lang w:eastAsia="zh-CN"/>
              </w:rPr>
            </w:pPr>
            <w:r>
              <w:t>1 or 4 samples</w:t>
            </w:r>
          </w:p>
        </w:tc>
      </w:tr>
    </w:tbl>
    <w:p w14:paraId="25340371" w14:textId="34D8148D" w:rsidR="00CC32B5" w:rsidRDefault="00775499" w:rsidP="00D92642">
      <w:pPr>
        <w:spacing w:before="240" w:after="0"/>
        <w:rPr>
          <w:bCs/>
          <w:sz w:val="22"/>
          <w:szCs w:val="22"/>
          <w:lang w:val="en-US" w:eastAsia="ja-JP"/>
        </w:rPr>
      </w:pPr>
      <w:r>
        <w:rPr>
          <w:rFonts w:hint="eastAsia"/>
          <w:sz w:val="22"/>
          <w:szCs w:val="22"/>
          <w:lang w:eastAsia="zh-CN"/>
        </w:rPr>
        <w:t>T</w:t>
      </w:r>
      <w:r>
        <w:rPr>
          <w:sz w:val="22"/>
          <w:szCs w:val="22"/>
          <w:lang w:eastAsia="zh-CN"/>
        </w:rPr>
        <w:t xml:space="preserve">o define accuracy requirements, it was agreed that </w:t>
      </w:r>
      <w:r w:rsidRPr="00775499">
        <w:rPr>
          <w:bCs/>
          <w:sz w:val="22"/>
          <w:szCs w:val="22"/>
          <w:lang w:val="en-US" w:eastAsia="ja-JP"/>
        </w:rPr>
        <w:t>Es/</w:t>
      </w:r>
      <w:proofErr w:type="spellStart"/>
      <w:r w:rsidRPr="00775499">
        <w:rPr>
          <w:bCs/>
          <w:sz w:val="22"/>
          <w:szCs w:val="22"/>
          <w:lang w:val="en-US" w:eastAsia="ja-JP"/>
        </w:rPr>
        <w:t>Iot</w:t>
      </w:r>
      <w:proofErr w:type="spellEnd"/>
      <w:r w:rsidRPr="00775499">
        <w:rPr>
          <w:bCs/>
          <w:sz w:val="22"/>
          <w:szCs w:val="22"/>
          <w:lang w:val="en-US" w:eastAsia="ja-JP"/>
        </w:rPr>
        <w:t xml:space="preserve"> = -3 dB is assumed</w:t>
      </w:r>
      <w:r w:rsidR="00CA4CF8">
        <w:rPr>
          <w:bCs/>
          <w:sz w:val="22"/>
          <w:szCs w:val="22"/>
          <w:lang w:val="en-US" w:eastAsia="ja-JP"/>
        </w:rPr>
        <w:t>. With the higher Es/</w:t>
      </w:r>
      <w:proofErr w:type="spellStart"/>
      <w:r w:rsidR="00CA4CF8">
        <w:rPr>
          <w:bCs/>
          <w:sz w:val="22"/>
          <w:szCs w:val="22"/>
          <w:lang w:val="en-US" w:eastAsia="ja-JP"/>
        </w:rPr>
        <w:t>Iot</w:t>
      </w:r>
      <w:proofErr w:type="spellEnd"/>
      <w:r w:rsidR="00CA4CF8">
        <w:rPr>
          <w:bCs/>
          <w:sz w:val="22"/>
          <w:szCs w:val="22"/>
          <w:lang w:val="en-US" w:eastAsia="ja-JP"/>
        </w:rPr>
        <w:t xml:space="preserve"> side condition, </w:t>
      </w:r>
      <w:r w:rsidR="000C5AE9">
        <w:rPr>
          <w:bCs/>
          <w:sz w:val="22"/>
          <w:szCs w:val="22"/>
          <w:lang w:val="en-US" w:eastAsia="ja-JP"/>
        </w:rPr>
        <w:t xml:space="preserve">the improvement on </w:t>
      </w:r>
      <w:r w:rsidR="00CA4CF8">
        <w:rPr>
          <w:bCs/>
          <w:sz w:val="22"/>
          <w:szCs w:val="22"/>
          <w:lang w:val="en-US" w:eastAsia="ja-JP"/>
        </w:rPr>
        <w:t xml:space="preserve">accuracy with </w:t>
      </w:r>
      <w:r w:rsidR="000C5AE9">
        <w:rPr>
          <w:bCs/>
          <w:sz w:val="22"/>
          <w:szCs w:val="22"/>
          <w:lang w:val="en-US" w:eastAsia="ja-JP"/>
        </w:rPr>
        <w:t>4</w:t>
      </w:r>
      <w:r w:rsidR="00CA4CF8">
        <w:rPr>
          <w:bCs/>
          <w:sz w:val="22"/>
          <w:szCs w:val="22"/>
          <w:lang w:val="en-US" w:eastAsia="ja-JP"/>
        </w:rPr>
        <w:t xml:space="preserve"> </w:t>
      </w:r>
      <w:r w:rsidR="000C5AE9">
        <w:rPr>
          <w:bCs/>
          <w:sz w:val="22"/>
          <w:szCs w:val="22"/>
          <w:lang w:val="en-US" w:eastAsia="ja-JP"/>
        </w:rPr>
        <w:t xml:space="preserve">samples </w:t>
      </w:r>
      <w:r w:rsidR="00CA4CF8">
        <w:rPr>
          <w:bCs/>
          <w:sz w:val="22"/>
          <w:szCs w:val="22"/>
          <w:lang w:val="en-US" w:eastAsia="ja-JP"/>
        </w:rPr>
        <w:t xml:space="preserve">measurement </w:t>
      </w:r>
      <w:r w:rsidR="000C5AE9">
        <w:rPr>
          <w:bCs/>
          <w:sz w:val="22"/>
          <w:szCs w:val="22"/>
          <w:lang w:val="en-US" w:eastAsia="ja-JP"/>
        </w:rPr>
        <w:t>is marginal compared to 1 sample measurement. Therefore, we don’t see necessity of defining accuracy requirements based on 4 samples which would lead to long measurement period.</w:t>
      </w:r>
      <w:r w:rsidR="008E1B05">
        <w:rPr>
          <w:bCs/>
          <w:sz w:val="22"/>
          <w:szCs w:val="22"/>
          <w:lang w:val="en-US" w:eastAsia="ja-JP"/>
        </w:rPr>
        <w:t xml:space="preserve"> In addition, </w:t>
      </w:r>
      <w:proofErr w:type="spellStart"/>
      <w:r w:rsidR="008E1B05">
        <w:rPr>
          <w:bCs/>
          <w:sz w:val="22"/>
          <w:szCs w:val="22"/>
          <w:lang w:val="en-US" w:eastAsia="ja-JP"/>
        </w:rPr>
        <w:t>gNB</w:t>
      </w:r>
      <w:proofErr w:type="spellEnd"/>
      <w:r w:rsidR="008E1B05">
        <w:rPr>
          <w:bCs/>
          <w:sz w:val="22"/>
          <w:szCs w:val="22"/>
          <w:lang w:val="en-US" w:eastAsia="ja-JP"/>
        </w:rPr>
        <w:t xml:space="preserve"> measurement accuracy requirements are based on one shot measurement. It is not clear why UE measurement is treated differently.</w:t>
      </w:r>
    </w:p>
    <w:p w14:paraId="664D1906" w14:textId="3C48D880" w:rsidR="000C5AE9" w:rsidRDefault="000C5AE9" w:rsidP="000C5AE9">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sidR="008E1B05">
        <w:rPr>
          <w:b/>
          <w:bCs/>
          <w:i/>
          <w:iCs/>
          <w:sz w:val="22"/>
          <w:szCs w:val="22"/>
          <w:lang w:val="en-US" w:eastAsia="zh-CN"/>
        </w:rPr>
        <w:t>1</w:t>
      </w:r>
      <w:r>
        <w:rPr>
          <w:b/>
          <w:bCs/>
          <w:i/>
          <w:iCs/>
          <w:sz w:val="22"/>
          <w:szCs w:val="22"/>
          <w:lang w:val="en-US" w:eastAsia="zh-CN"/>
        </w:rPr>
        <w:t>:</w:t>
      </w:r>
      <w:r w:rsidRPr="00302FEB">
        <w:rPr>
          <w:b/>
          <w:bCs/>
          <w:i/>
          <w:iCs/>
          <w:sz w:val="22"/>
          <w:szCs w:val="22"/>
          <w:lang w:val="en-US" w:eastAsia="zh-CN"/>
        </w:rPr>
        <w:t xml:space="preserve"> </w:t>
      </w:r>
      <w:r>
        <w:rPr>
          <w:b/>
          <w:bCs/>
          <w:i/>
          <w:iCs/>
          <w:sz w:val="22"/>
          <w:szCs w:val="22"/>
          <w:lang w:val="en-US" w:eastAsia="zh-CN"/>
        </w:rPr>
        <w:t>Accuracy requirements for RTT-based PDC</w:t>
      </w:r>
      <w:r w:rsidR="00A91E82">
        <w:rPr>
          <w:b/>
          <w:bCs/>
          <w:i/>
          <w:iCs/>
          <w:sz w:val="22"/>
          <w:szCs w:val="22"/>
          <w:lang w:val="en-US" w:eastAsia="zh-CN"/>
        </w:rPr>
        <w:t xml:space="preserve"> with PRS</w:t>
      </w:r>
      <w:r>
        <w:rPr>
          <w:b/>
          <w:bCs/>
          <w:i/>
          <w:iCs/>
          <w:sz w:val="22"/>
          <w:szCs w:val="22"/>
          <w:lang w:val="en-US" w:eastAsia="zh-CN"/>
        </w:rPr>
        <w:t xml:space="preserve"> are based on measurements with one sample.</w:t>
      </w:r>
    </w:p>
    <w:p w14:paraId="4304A178" w14:textId="6A67CC5E" w:rsidR="00A91E82" w:rsidRDefault="00A91E82" w:rsidP="00D92642">
      <w:pPr>
        <w:spacing w:before="240" w:after="0"/>
        <w:rPr>
          <w:sz w:val="22"/>
          <w:szCs w:val="22"/>
          <w:lang w:val="en-US" w:eastAsia="zh-CN"/>
        </w:rPr>
      </w:pPr>
      <w:r>
        <w:rPr>
          <w:rFonts w:hint="eastAsia"/>
          <w:sz w:val="22"/>
          <w:szCs w:val="22"/>
          <w:lang w:val="en-US" w:eastAsia="zh-CN"/>
        </w:rPr>
        <w:t>F</w:t>
      </w:r>
      <w:r>
        <w:rPr>
          <w:sz w:val="22"/>
          <w:szCs w:val="22"/>
          <w:lang w:val="en-US" w:eastAsia="zh-CN"/>
        </w:rPr>
        <w:t xml:space="preserve">or RTT-based PDC with TRS, it can be seen from simulation results in [2] that measurement accuracy with 4 samples and 1 sample are almost the same under AWGN channel. Thus, similar principle as for RTT-based PDC with PRS can be re-used. </w:t>
      </w:r>
    </w:p>
    <w:p w14:paraId="764F3F57" w14:textId="672AB589" w:rsidR="00A91E82" w:rsidRDefault="00A91E82" w:rsidP="00A91E82">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2</w:t>
      </w:r>
      <w:r>
        <w:rPr>
          <w:b/>
          <w:bCs/>
          <w:i/>
          <w:iCs/>
          <w:sz w:val="22"/>
          <w:szCs w:val="22"/>
          <w:lang w:val="en-US" w:eastAsia="zh-CN"/>
        </w:rPr>
        <w:t>:</w:t>
      </w:r>
      <w:r w:rsidRPr="00302FEB">
        <w:rPr>
          <w:b/>
          <w:bCs/>
          <w:i/>
          <w:iCs/>
          <w:sz w:val="22"/>
          <w:szCs w:val="22"/>
          <w:lang w:val="en-US" w:eastAsia="zh-CN"/>
        </w:rPr>
        <w:t xml:space="preserve"> </w:t>
      </w:r>
      <w:r>
        <w:rPr>
          <w:b/>
          <w:bCs/>
          <w:i/>
          <w:iCs/>
          <w:sz w:val="22"/>
          <w:szCs w:val="22"/>
          <w:lang w:val="en-US" w:eastAsia="zh-CN"/>
        </w:rPr>
        <w:t xml:space="preserve">Accuracy requirements for RTT-based PDC with </w:t>
      </w:r>
      <w:r>
        <w:rPr>
          <w:b/>
          <w:bCs/>
          <w:i/>
          <w:iCs/>
          <w:sz w:val="22"/>
          <w:szCs w:val="22"/>
          <w:lang w:val="en-US" w:eastAsia="zh-CN"/>
        </w:rPr>
        <w:t>T</w:t>
      </w:r>
      <w:r>
        <w:rPr>
          <w:b/>
          <w:bCs/>
          <w:i/>
          <w:iCs/>
          <w:sz w:val="22"/>
          <w:szCs w:val="22"/>
          <w:lang w:val="en-US" w:eastAsia="zh-CN"/>
        </w:rPr>
        <w:t>RS are based on measurements with one sample</w:t>
      </w:r>
      <w:r w:rsidR="00C25F50">
        <w:rPr>
          <w:b/>
          <w:bCs/>
          <w:i/>
          <w:iCs/>
          <w:sz w:val="22"/>
          <w:szCs w:val="22"/>
          <w:lang w:val="en-US" w:eastAsia="zh-CN"/>
        </w:rPr>
        <w:t>.</w:t>
      </w:r>
    </w:p>
    <w:p w14:paraId="186142D1" w14:textId="23B35AE7" w:rsidR="000C5AE9" w:rsidRDefault="008E1B05" w:rsidP="00D92642">
      <w:pPr>
        <w:spacing w:before="240" w:after="0"/>
        <w:rPr>
          <w:sz w:val="22"/>
          <w:szCs w:val="22"/>
          <w:lang w:val="en-US" w:eastAsia="zh-CN"/>
        </w:rPr>
      </w:pPr>
      <w:r>
        <w:rPr>
          <w:rFonts w:hint="eastAsia"/>
          <w:sz w:val="22"/>
          <w:szCs w:val="22"/>
          <w:lang w:val="en-US" w:eastAsia="zh-CN"/>
        </w:rPr>
        <w:t>W</w:t>
      </w:r>
      <w:r>
        <w:rPr>
          <w:sz w:val="22"/>
          <w:szCs w:val="22"/>
          <w:lang w:val="en-US" w:eastAsia="zh-CN"/>
        </w:rPr>
        <w:t xml:space="preserve">ith one shot measurement, there is no need to specify UE measurement period core requirements for RTT-based PDC measurement, same as for </w:t>
      </w:r>
      <w:proofErr w:type="spellStart"/>
      <w:r>
        <w:rPr>
          <w:sz w:val="22"/>
          <w:szCs w:val="22"/>
          <w:lang w:val="en-US" w:eastAsia="zh-CN"/>
        </w:rPr>
        <w:t>gNB</w:t>
      </w:r>
      <w:proofErr w:type="spellEnd"/>
      <w:r>
        <w:rPr>
          <w:sz w:val="22"/>
          <w:szCs w:val="22"/>
          <w:lang w:val="en-US" w:eastAsia="zh-CN"/>
        </w:rPr>
        <w:t xml:space="preserve"> measurement.</w:t>
      </w:r>
    </w:p>
    <w:p w14:paraId="5C4F13EE" w14:textId="2DB032ED" w:rsidR="008E1B05" w:rsidRDefault="008E1B05" w:rsidP="008E1B05">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sidR="000D4437">
        <w:rPr>
          <w:b/>
          <w:bCs/>
          <w:i/>
          <w:iCs/>
          <w:sz w:val="22"/>
          <w:szCs w:val="22"/>
          <w:lang w:val="en-US" w:eastAsia="zh-CN"/>
        </w:rPr>
        <w:t>3</w:t>
      </w:r>
      <w:r>
        <w:rPr>
          <w:b/>
          <w:bCs/>
          <w:i/>
          <w:iCs/>
          <w:sz w:val="22"/>
          <w:szCs w:val="22"/>
          <w:lang w:val="en-US" w:eastAsia="zh-CN"/>
        </w:rPr>
        <w:t>:</w:t>
      </w:r>
      <w:r w:rsidRPr="00302FEB">
        <w:rPr>
          <w:b/>
          <w:bCs/>
          <w:i/>
          <w:iCs/>
          <w:sz w:val="22"/>
          <w:szCs w:val="22"/>
          <w:lang w:val="en-US" w:eastAsia="zh-CN"/>
        </w:rPr>
        <w:t xml:space="preserve"> </w:t>
      </w:r>
      <w:r>
        <w:rPr>
          <w:b/>
          <w:bCs/>
          <w:i/>
          <w:iCs/>
          <w:sz w:val="22"/>
          <w:szCs w:val="22"/>
          <w:lang w:val="en-US" w:eastAsia="zh-CN"/>
        </w:rPr>
        <w:t>No measurement period requirements are specified for RTT-based PDC.</w:t>
      </w:r>
    </w:p>
    <w:p w14:paraId="78D61AF6" w14:textId="6B27B6A8" w:rsidR="00A91E82" w:rsidRDefault="00A91E82" w:rsidP="008E1B05">
      <w:pPr>
        <w:spacing w:before="240" w:after="0"/>
        <w:rPr>
          <w:b/>
          <w:bCs/>
          <w:i/>
          <w:iCs/>
          <w:sz w:val="22"/>
          <w:szCs w:val="22"/>
          <w:lang w:val="en-US" w:eastAsia="zh-CN"/>
        </w:rPr>
      </w:pPr>
    </w:p>
    <w:p w14:paraId="60A3E92A" w14:textId="77777777" w:rsidR="000D4437" w:rsidRPr="000D4437" w:rsidRDefault="000D4437" w:rsidP="000D4437">
      <w:pPr>
        <w:spacing w:before="240" w:after="0"/>
        <w:rPr>
          <w:b/>
          <w:bCs/>
          <w:iCs/>
          <w:sz w:val="28"/>
          <w:szCs w:val="28"/>
          <w:u w:val="single"/>
          <w:lang w:eastAsia="zh-CN"/>
        </w:rPr>
      </w:pPr>
      <w:r w:rsidRPr="000D4437">
        <w:rPr>
          <w:b/>
          <w:bCs/>
          <w:iCs/>
          <w:sz w:val="22"/>
          <w:szCs w:val="22"/>
          <w:u w:val="single"/>
        </w:rPr>
        <w:t>Channel conditions</w:t>
      </w:r>
    </w:p>
    <w:p w14:paraId="0B34E094" w14:textId="77777777" w:rsidR="000D4437" w:rsidRPr="000D4437" w:rsidRDefault="000D4437" w:rsidP="000D4437">
      <w:pPr>
        <w:spacing w:before="240" w:after="0"/>
        <w:rPr>
          <w:sz w:val="22"/>
          <w:szCs w:val="22"/>
          <w:lang w:val="en-US" w:eastAsia="zh-CN"/>
        </w:rPr>
      </w:pPr>
      <w:r w:rsidRPr="000D4437">
        <w:rPr>
          <w:sz w:val="22"/>
          <w:szCs w:val="22"/>
          <w:lang w:val="en-US" w:eastAsia="zh-CN"/>
        </w:rPr>
        <w:t>It was agreed that for Rel-17 PDC RTT-based method using PRS as the DL reference signal, AWGN channel is assumed. It is FFS whether additional channels should be considered. In Rel-17 positioning enhancement, it was agreed that 1 sample measurement accuracy requirements will be defined for AWGN and LOS channel. In our view, the accuracy would be similar in AWGN and LOS channel. The accuracy requirements for AWGN channel would be enough for PDC measurement. It would also be fine if other LOS channels are configured.</w:t>
      </w:r>
    </w:p>
    <w:p w14:paraId="06984BF6" w14:textId="0F79D216" w:rsidR="000D4437" w:rsidRDefault="000D4437" w:rsidP="000D4437">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4</w:t>
      </w:r>
      <w:r>
        <w:rPr>
          <w:b/>
          <w:bCs/>
          <w:i/>
          <w:iCs/>
          <w:sz w:val="22"/>
          <w:szCs w:val="22"/>
          <w:lang w:val="en-US" w:eastAsia="zh-CN"/>
        </w:rPr>
        <w:t>:</w:t>
      </w:r>
      <w:r w:rsidRPr="00302FEB">
        <w:rPr>
          <w:b/>
          <w:bCs/>
          <w:i/>
          <w:iCs/>
          <w:sz w:val="22"/>
          <w:szCs w:val="22"/>
          <w:lang w:val="en-US" w:eastAsia="zh-CN"/>
        </w:rPr>
        <w:t xml:space="preserve"> </w:t>
      </w:r>
      <w:r>
        <w:rPr>
          <w:b/>
          <w:bCs/>
          <w:i/>
          <w:iCs/>
          <w:sz w:val="22"/>
          <w:szCs w:val="22"/>
          <w:lang w:val="en-US" w:eastAsia="zh-CN"/>
        </w:rPr>
        <w:t>AWGN channel is assumed for defining accuracy requirements for PDC measurement. Additional LOS channel may be considered.</w:t>
      </w:r>
    </w:p>
    <w:p w14:paraId="6D974E4E" w14:textId="77777777" w:rsidR="000D4437" w:rsidRDefault="000D4437" w:rsidP="008E1B05">
      <w:pPr>
        <w:spacing w:before="240" w:after="0"/>
        <w:rPr>
          <w:rFonts w:hint="eastAsia"/>
          <w:b/>
          <w:bCs/>
          <w:i/>
          <w:iCs/>
          <w:sz w:val="22"/>
          <w:szCs w:val="22"/>
          <w:lang w:val="en-US" w:eastAsia="zh-CN"/>
        </w:rPr>
      </w:pPr>
    </w:p>
    <w:p w14:paraId="40260528" w14:textId="634DEAD7" w:rsidR="002B29A5" w:rsidRPr="000D4437" w:rsidRDefault="002B29A5" w:rsidP="002B29A5">
      <w:pPr>
        <w:spacing w:before="240" w:after="0"/>
        <w:rPr>
          <w:b/>
          <w:bCs/>
          <w:iCs/>
          <w:sz w:val="28"/>
          <w:szCs w:val="28"/>
          <w:u w:val="single"/>
          <w:lang w:eastAsia="zh-CN"/>
        </w:rPr>
      </w:pPr>
      <w:r w:rsidRPr="000D4437">
        <w:rPr>
          <w:b/>
          <w:bCs/>
          <w:iCs/>
          <w:sz w:val="22"/>
          <w:szCs w:val="22"/>
          <w:u w:val="single"/>
        </w:rPr>
        <w:t>Test cases</w:t>
      </w:r>
    </w:p>
    <w:p w14:paraId="735E6060" w14:textId="670729E6" w:rsidR="00F60274" w:rsidRDefault="002B29A5" w:rsidP="002B29A5">
      <w:pPr>
        <w:spacing w:before="240" w:after="0"/>
        <w:rPr>
          <w:bCs/>
          <w:color w:val="000000"/>
          <w:sz w:val="22"/>
          <w:szCs w:val="22"/>
          <w:lang w:eastAsia="zh-CN"/>
        </w:rPr>
      </w:pPr>
      <w:r>
        <w:rPr>
          <w:sz w:val="22"/>
          <w:szCs w:val="22"/>
          <w:lang w:eastAsia="zh-CN"/>
        </w:rPr>
        <w:t xml:space="preserve">There were discussions on test cases for RTT-based PDC measurement. </w:t>
      </w:r>
      <w:r w:rsidR="00702443">
        <w:rPr>
          <w:sz w:val="22"/>
          <w:szCs w:val="22"/>
          <w:lang w:eastAsia="zh-CN"/>
        </w:rPr>
        <w:t>I</w:t>
      </w:r>
      <w:r>
        <w:rPr>
          <w:sz w:val="22"/>
          <w:szCs w:val="22"/>
          <w:lang w:eastAsia="zh-CN"/>
        </w:rPr>
        <w:t>t is better to be discussed after completion of accuracy requirements</w:t>
      </w:r>
      <w:r w:rsidR="00F60274" w:rsidRPr="00F60274">
        <w:rPr>
          <w:bCs/>
          <w:color w:val="000000"/>
          <w:sz w:val="22"/>
          <w:szCs w:val="22"/>
          <w:lang w:eastAsia="zh-CN"/>
        </w:rPr>
        <w:t>.</w:t>
      </w:r>
      <w:r>
        <w:rPr>
          <w:bCs/>
          <w:color w:val="000000"/>
          <w:sz w:val="22"/>
          <w:szCs w:val="22"/>
          <w:lang w:eastAsia="zh-CN"/>
        </w:rPr>
        <w:t xml:space="preserve"> </w:t>
      </w:r>
      <w:r w:rsidR="00702443">
        <w:rPr>
          <w:bCs/>
          <w:color w:val="000000"/>
          <w:sz w:val="22"/>
          <w:szCs w:val="22"/>
          <w:lang w:eastAsia="zh-CN"/>
        </w:rPr>
        <w:t>Until t</w:t>
      </w:r>
      <w:r>
        <w:rPr>
          <w:bCs/>
          <w:color w:val="000000"/>
          <w:sz w:val="22"/>
          <w:szCs w:val="22"/>
          <w:lang w:eastAsia="zh-CN"/>
        </w:rPr>
        <w:t>hen it will become clear whether existing test cases can be used as baseline.</w:t>
      </w:r>
    </w:p>
    <w:p w14:paraId="1697C6FF" w14:textId="028AFAD4" w:rsidR="002B29A5" w:rsidRDefault="002B29A5" w:rsidP="002B29A5">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sidR="00702443">
        <w:rPr>
          <w:b/>
          <w:bCs/>
          <w:i/>
          <w:iCs/>
          <w:sz w:val="22"/>
          <w:szCs w:val="22"/>
          <w:lang w:val="en-US" w:eastAsia="zh-CN"/>
        </w:rPr>
        <w:t>5</w:t>
      </w:r>
      <w:r>
        <w:rPr>
          <w:b/>
          <w:bCs/>
          <w:i/>
          <w:iCs/>
          <w:sz w:val="22"/>
          <w:szCs w:val="22"/>
          <w:lang w:val="en-US" w:eastAsia="zh-CN"/>
        </w:rPr>
        <w:t>:</w:t>
      </w:r>
      <w:r w:rsidRPr="00302FEB">
        <w:rPr>
          <w:b/>
          <w:bCs/>
          <w:i/>
          <w:iCs/>
          <w:sz w:val="22"/>
          <w:szCs w:val="22"/>
          <w:lang w:val="en-US" w:eastAsia="zh-CN"/>
        </w:rPr>
        <w:t xml:space="preserve"> </w:t>
      </w:r>
      <w:r w:rsidR="00C3236B">
        <w:rPr>
          <w:b/>
          <w:bCs/>
          <w:i/>
          <w:iCs/>
          <w:sz w:val="22"/>
          <w:szCs w:val="22"/>
          <w:lang w:val="en-US" w:eastAsia="zh-CN"/>
        </w:rPr>
        <w:t>Test cases are discussed after completion of accuracy requirements</w:t>
      </w:r>
      <w:r>
        <w:rPr>
          <w:b/>
          <w:bCs/>
          <w:i/>
          <w:iCs/>
          <w:sz w:val="22"/>
          <w:szCs w:val="22"/>
          <w:lang w:val="en-US" w:eastAsia="zh-CN"/>
        </w:rPr>
        <w:t>.</w:t>
      </w:r>
    </w:p>
    <w:p w14:paraId="0339487D" w14:textId="77777777" w:rsidR="00702443" w:rsidRDefault="00702443" w:rsidP="007B05C3">
      <w:pPr>
        <w:spacing w:before="240" w:after="0"/>
        <w:rPr>
          <w:b/>
          <w:bCs/>
          <w:iCs/>
          <w:sz w:val="22"/>
          <w:szCs w:val="22"/>
          <w:u w:val="single"/>
        </w:rPr>
      </w:pPr>
    </w:p>
    <w:p w14:paraId="35206697" w14:textId="56FEACD5" w:rsidR="007B05C3" w:rsidRPr="00702443" w:rsidRDefault="007B05C3" w:rsidP="007B05C3">
      <w:pPr>
        <w:spacing w:before="240" w:after="0"/>
        <w:rPr>
          <w:b/>
          <w:bCs/>
          <w:iCs/>
          <w:sz w:val="28"/>
          <w:szCs w:val="28"/>
          <w:u w:val="single"/>
          <w:lang w:eastAsia="zh-CN"/>
        </w:rPr>
      </w:pPr>
      <w:r w:rsidRPr="00702443">
        <w:rPr>
          <w:b/>
          <w:bCs/>
          <w:iCs/>
          <w:sz w:val="22"/>
          <w:szCs w:val="22"/>
          <w:u w:val="single"/>
        </w:rPr>
        <w:t>FR2</w:t>
      </w:r>
    </w:p>
    <w:p w14:paraId="310AA994" w14:textId="7E761E4F" w:rsidR="007B05C3" w:rsidRPr="00702443" w:rsidRDefault="007B05C3" w:rsidP="002B29A5">
      <w:pPr>
        <w:spacing w:before="240" w:after="0"/>
        <w:rPr>
          <w:bCs/>
          <w:color w:val="000000"/>
          <w:sz w:val="22"/>
          <w:szCs w:val="22"/>
          <w:lang w:val="en-US" w:eastAsia="zh-CN"/>
        </w:rPr>
      </w:pPr>
      <w:r w:rsidRPr="00702443">
        <w:rPr>
          <w:rFonts w:hint="eastAsia"/>
          <w:bCs/>
          <w:color w:val="000000"/>
          <w:sz w:val="22"/>
          <w:szCs w:val="22"/>
          <w:lang w:val="en-US" w:eastAsia="zh-CN"/>
        </w:rPr>
        <w:t>I</w:t>
      </w:r>
      <w:r w:rsidRPr="00702443">
        <w:rPr>
          <w:bCs/>
          <w:color w:val="000000"/>
          <w:sz w:val="22"/>
          <w:szCs w:val="22"/>
          <w:lang w:val="en-US" w:eastAsia="zh-CN"/>
        </w:rPr>
        <w:t xml:space="preserve">t was not clear whether FR2 is supported for RTT-based PDC or not. The evaluations in RAN1 were conducted based on 15KHz SCS and 30kHz SCS. </w:t>
      </w:r>
      <w:r w:rsidR="00702443">
        <w:rPr>
          <w:bCs/>
          <w:color w:val="000000"/>
          <w:sz w:val="22"/>
          <w:szCs w:val="22"/>
          <w:lang w:val="en-US" w:eastAsia="zh-CN"/>
        </w:rPr>
        <w:t>From RAN4 perspective, it seems no reason to preclude FR2.</w:t>
      </w:r>
    </w:p>
    <w:p w14:paraId="03E1B947" w14:textId="143CD566" w:rsidR="007B05C3" w:rsidRDefault="00702443" w:rsidP="007B05C3">
      <w:pPr>
        <w:spacing w:before="240" w:after="0"/>
        <w:rPr>
          <w:b/>
          <w:bCs/>
          <w:i/>
          <w:iCs/>
          <w:sz w:val="22"/>
          <w:szCs w:val="22"/>
          <w:lang w:val="en-US" w:eastAsia="zh-CN"/>
        </w:rPr>
      </w:pPr>
      <w:r>
        <w:rPr>
          <w:b/>
          <w:bCs/>
          <w:i/>
          <w:iCs/>
          <w:sz w:val="22"/>
          <w:szCs w:val="22"/>
          <w:lang w:val="en-US" w:eastAsia="zh-CN"/>
        </w:rPr>
        <w:t>Observation</w:t>
      </w:r>
      <w:r w:rsidR="007B05C3" w:rsidRPr="00302FEB">
        <w:rPr>
          <w:b/>
          <w:bCs/>
          <w:i/>
          <w:iCs/>
          <w:sz w:val="22"/>
          <w:szCs w:val="22"/>
          <w:lang w:val="en-US" w:eastAsia="zh-CN"/>
        </w:rPr>
        <w:t xml:space="preserve"> </w:t>
      </w:r>
      <w:r>
        <w:rPr>
          <w:b/>
          <w:bCs/>
          <w:i/>
          <w:iCs/>
          <w:sz w:val="22"/>
          <w:szCs w:val="22"/>
          <w:lang w:val="en-US" w:eastAsia="zh-CN"/>
        </w:rPr>
        <w:t>1</w:t>
      </w:r>
      <w:r w:rsidR="007B05C3">
        <w:rPr>
          <w:b/>
          <w:bCs/>
          <w:i/>
          <w:iCs/>
          <w:sz w:val="22"/>
          <w:szCs w:val="22"/>
          <w:lang w:val="en-US" w:eastAsia="zh-CN"/>
        </w:rPr>
        <w:t>:</w:t>
      </w:r>
      <w:r w:rsidR="007B05C3" w:rsidRPr="00302FEB">
        <w:rPr>
          <w:b/>
          <w:bCs/>
          <w:i/>
          <w:iCs/>
          <w:sz w:val="22"/>
          <w:szCs w:val="22"/>
          <w:lang w:val="en-US" w:eastAsia="zh-CN"/>
        </w:rPr>
        <w:t xml:space="preserve"> </w:t>
      </w:r>
      <w:r w:rsidR="007B05C3">
        <w:rPr>
          <w:b/>
          <w:bCs/>
          <w:i/>
          <w:iCs/>
          <w:sz w:val="22"/>
          <w:szCs w:val="22"/>
          <w:lang w:val="en-US" w:eastAsia="zh-CN"/>
        </w:rPr>
        <w:t xml:space="preserve">60kHz and 120kHz SCS for FR2 </w:t>
      </w:r>
      <w:r>
        <w:rPr>
          <w:b/>
          <w:bCs/>
          <w:i/>
          <w:iCs/>
          <w:sz w:val="22"/>
          <w:szCs w:val="22"/>
          <w:lang w:val="en-US" w:eastAsia="zh-CN"/>
        </w:rPr>
        <w:t>are</w:t>
      </w:r>
      <w:r w:rsidR="007B05C3">
        <w:rPr>
          <w:b/>
          <w:bCs/>
          <w:i/>
          <w:iCs/>
          <w:sz w:val="22"/>
          <w:szCs w:val="22"/>
          <w:lang w:val="en-US" w:eastAsia="zh-CN"/>
        </w:rPr>
        <w:t xml:space="preserve"> not </w:t>
      </w:r>
      <w:r>
        <w:rPr>
          <w:b/>
          <w:bCs/>
          <w:i/>
          <w:iCs/>
          <w:sz w:val="22"/>
          <w:szCs w:val="22"/>
          <w:lang w:val="en-US" w:eastAsia="zh-CN"/>
        </w:rPr>
        <w:t xml:space="preserve">excluded explicitly </w:t>
      </w:r>
      <w:r w:rsidR="007B05C3">
        <w:rPr>
          <w:b/>
          <w:bCs/>
          <w:i/>
          <w:iCs/>
          <w:sz w:val="22"/>
          <w:szCs w:val="22"/>
          <w:lang w:val="en-US" w:eastAsia="zh-CN"/>
        </w:rPr>
        <w:t>for PDC</w:t>
      </w:r>
      <w:r>
        <w:rPr>
          <w:b/>
          <w:bCs/>
          <w:i/>
          <w:iCs/>
          <w:sz w:val="22"/>
          <w:szCs w:val="22"/>
          <w:lang w:val="en-US" w:eastAsia="zh-CN"/>
        </w:rPr>
        <w:t xml:space="preserve"> use cases</w:t>
      </w:r>
      <w:r w:rsidR="007B05C3">
        <w:rPr>
          <w:b/>
          <w:bCs/>
          <w:i/>
          <w:iCs/>
          <w:sz w:val="22"/>
          <w:szCs w:val="22"/>
          <w:lang w:val="en-US" w:eastAsia="zh-CN"/>
        </w:rPr>
        <w:t>.</w:t>
      </w:r>
    </w:p>
    <w:p w14:paraId="657281DF" w14:textId="74ED321B" w:rsidR="00660D46" w:rsidRDefault="00660D46" w:rsidP="00F45220">
      <w:pPr>
        <w:spacing w:before="240" w:after="0"/>
        <w:rPr>
          <w:sz w:val="22"/>
          <w:szCs w:val="22"/>
          <w:lang w:val="en-US"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12F460DC"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E01F6">
        <w:rPr>
          <w:sz w:val="22"/>
          <w:szCs w:val="22"/>
        </w:rPr>
        <w:t xml:space="preserve">further </w:t>
      </w:r>
      <w:r w:rsidR="006777A7">
        <w:rPr>
          <w:sz w:val="22"/>
          <w:szCs w:val="22"/>
        </w:rPr>
        <w:t>provide</w:t>
      </w:r>
      <w:r w:rsidR="00702443">
        <w:rPr>
          <w:sz w:val="22"/>
          <w:szCs w:val="22"/>
        </w:rPr>
        <w:t>d</w:t>
      </w:r>
      <w:r w:rsidR="006777A7">
        <w:rPr>
          <w:sz w:val="22"/>
          <w:szCs w:val="22"/>
        </w:rPr>
        <w:t xml:space="preserve"> our views</w:t>
      </w:r>
      <w:r w:rsidR="00745426">
        <w:rPr>
          <w:sz w:val="22"/>
          <w:szCs w:val="22"/>
        </w:rPr>
        <w:t xml:space="preserve"> </w:t>
      </w:r>
      <w:r w:rsidR="004F231B">
        <w:rPr>
          <w:sz w:val="22"/>
          <w:szCs w:val="22"/>
        </w:rPr>
        <w:t xml:space="preserve">on </w:t>
      </w:r>
      <w:r w:rsidR="004F231B">
        <w:rPr>
          <w:sz w:val="22"/>
          <w:szCs w:val="22"/>
          <w:lang w:val="en-US"/>
        </w:rPr>
        <w:t>requirements for RTT-based propagation delay compensation enhancements</w:t>
      </w:r>
      <w:r w:rsidR="00745426">
        <w:rPr>
          <w:sz w:val="22"/>
          <w:szCs w:val="22"/>
        </w:rPr>
        <w:t>. Based on analysis following</w:t>
      </w:r>
      <w:r w:rsidR="00F21643">
        <w:rPr>
          <w:sz w:val="22"/>
          <w:szCs w:val="22"/>
        </w:rPr>
        <w:t xml:space="preserve"> observations and</w:t>
      </w:r>
      <w:r w:rsidR="00745426">
        <w:rPr>
          <w:sz w:val="22"/>
          <w:szCs w:val="22"/>
        </w:rPr>
        <w:t xml:space="preserve"> proposals are present.</w:t>
      </w:r>
      <w:bookmarkStart w:id="10" w:name="_Hlk23953093"/>
    </w:p>
    <w:p w14:paraId="7A2D2B81" w14:textId="77777777" w:rsidR="00702443" w:rsidRDefault="00702443" w:rsidP="00702443">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1:</w:t>
      </w:r>
      <w:r w:rsidRPr="00302FEB">
        <w:rPr>
          <w:b/>
          <w:bCs/>
          <w:i/>
          <w:iCs/>
          <w:sz w:val="22"/>
          <w:szCs w:val="22"/>
          <w:lang w:val="en-US" w:eastAsia="zh-CN"/>
        </w:rPr>
        <w:t xml:space="preserve"> </w:t>
      </w:r>
      <w:r>
        <w:rPr>
          <w:b/>
          <w:bCs/>
          <w:i/>
          <w:iCs/>
          <w:sz w:val="22"/>
          <w:szCs w:val="22"/>
          <w:lang w:val="en-US" w:eastAsia="zh-CN"/>
        </w:rPr>
        <w:t>Accuracy requirements for RTT-based PDC with PRS are based on measurements with one sample.</w:t>
      </w:r>
    </w:p>
    <w:p w14:paraId="1A0A2B4F" w14:textId="77777777" w:rsidR="00702443" w:rsidRDefault="00702443" w:rsidP="00702443">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2:</w:t>
      </w:r>
      <w:r w:rsidRPr="00302FEB">
        <w:rPr>
          <w:b/>
          <w:bCs/>
          <w:i/>
          <w:iCs/>
          <w:sz w:val="22"/>
          <w:szCs w:val="22"/>
          <w:lang w:val="en-US" w:eastAsia="zh-CN"/>
        </w:rPr>
        <w:t xml:space="preserve"> </w:t>
      </w:r>
      <w:r>
        <w:rPr>
          <w:b/>
          <w:bCs/>
          <w:i/>
          <w:iCs/>
          <w:sz w:val="22"/>
          <w:szCs w:val="22"/>
          <w:lang w:val="en-US" w:eastAsia="zh-CN"/>
        </w:rPr>
        <w:t>Accuracy requirements for RTT-based PDC with TRS are based on measurements with one sample.</w:t>
      </w:r>
    </w:p>
    <w:p w14:paraId="235670F1" w14:textId="77777777" w:rsidR="00702443" w:rsidRDefault="00702443" w:rsidP="00702443">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3:</w:t>
      </w:r>
      <w:r w:rsidRPr="00302FEB">
        <w:rPr>
          <w:b/>
          <w:bCs/>
          <w:i/>
          <w:iCs/>
          <w:sz w:val="22"/>
          <w:szCs w:val="22"/>
          <w:lang w:val="en-US" w:eastAsia="zh-CN"/>
        </w:rPr>
        <w:t xml:space="preserve"> </w:t>
      </w:r>
      <w:r>
        <w:rPr>
          <w:b/>
          <w:bCs/>
          <w:i/>
          <w:iCs/>
          <w:sz w:val="22"/>
          <w:szCs w:val="22"/>
          <w:lang w:val="en-US" w:eastAsia="zh-CN"/>
        </w:rPr>
        <w:t>No measurement period requirements are specified for RTT-based PDC.</w:t>
      </w:r>
    </w:p>
    <w:p w14:paraId="5C840A8F" w14:textId="77777777" w:rsidR="00702443" w:rsidRDefault="00702443" w:rsidP="00702443">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4:</w:t>
      </w:r>
      <w:r w:rsidRPr="00302FEB">
        <w:rPr>
          <w:b/>
          <w:bCs/>
          <w:i/>
          <w:iCs/>
          <w:sz w:val="22"/>
          <w:szCs w:val="22"/>
          <w:lang w:val="en-US" w:eastAsia="zh-CN"/>
        </w:rPr>
        <w:t xml:space="preserve"> </w:t>
      </w:r>
      <w:r>
        <w:rPr>
          <w:b/>
          <w:bCs/>
          <w:i/>
          <w:iCs/>
          <w:sz w:val="22"/>
          <w:szCs w:val="22"/>
          <w:lang w:val="en-US" w:eastAsia="zh-CN"/>
        </w:rPr>
        <w:t>AWGN channel is assumed for defining accuracy requirements for PDC measurement. Additional LOS channel may be considered.</w:t>
      </w:r>
    </w:p>
    <w:p w14:paraId="035C004B" w14:textId="77777777" w:rsidR="00702443" w:rsidRDefault="00702443" w:rsidP="00702443">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5:</w:t>
      </w:r>
      <w:r w:rsidRPr="00302FEB">
        <w:rPr>
          <w:b/>
          <w:bCs/>
          <w:i/>
          <w:iCs/>
          <w:sz w:val="22"/>
          <w:szCs w:val="22"/>
          <w:lang w:val="en-US" w:eastAsia="zh-CN"/>
        </w:rPr>
        <w:t xml:space="preserve"> </w:t>
      </w:r>
      <w:r>
        <w:rPr>
          <w:b/>
          <w:bCs/>
          <w:i/>
          <w:iCs/>
          <w:sz w:val="22"/>
          <w:szCs w:val="22"/>
          <w:lang w:val="en-US" w:eastAsia="zh-CN"/>
        </w:rPr>
        <w:t>Test cases are discussed after completion of accuracy requirements.</w:t>
      </w:r>
    </w:p>
    <w:p w14:paraId="10AE8A17" w14:textId="77777777" w:rsidR="00702443" w:rsidRDefault="00702443" w:rsidP="00702443">
      <w:pPr>
        <w:spacing w:before="240" w:after="0"/>
        <w:rPr>
          <w:b/>
          <w:bCs/>
          <w:i/>
          <w:iCs/>
          <w:sz w:val="22"/>
          <w:szCs w:val="22"/>
          <w:lang w:val="en-US" w:eastAsia="zh-CN"/>
        </w:rPr>
      </w:pPr>
      <w:r>
        <w:rPr>
          <w:b/>
          <w:bCs/>
          <w:i/>
          <w:iCs/>
          <w:sz w:val="22"/>
          <w:szCs w:val="22"/>
          <w:lang w:val="en-US" w:eastAsia="zh-CN"/>
        </w:rPr>
        <w:t>Observation</w:t>
      </w:r>
      <w:r w:rsidRPr="00302FEB">
        <w:rPr>
          <w:b/>
          <w:bCs/>
          <w:i/>
          <w:iCs/>
          <w:sz w:val="22"/>
          <w:szCs w:val="22"/>
          <w:lang w:val="en-US" w:eastAsia="zh-CN"/>
        </w:rPr>
        <w:t xml:space="preserve"> </w:t>
      </w:r>
      <w:r>
        <w:rPr>
          <w:b/>
          <w:bCs/>
          <w:i/>
          <w:iCs/>
          <w:sz w:val="22"/>
          <w:szCs w:val="22"/>
          <w:lang w:val="en-US" w:eastAsia="zh-CN"/>
        </w:rPr>
        <w:t>1:</w:t>
      </w:r>
      <w:r w:rsidRPr="00302FEB">
        <w:rPr>
          <w:b/>
          <w:bCs/>
          <w:i/>
          <w:iCs/>
          <w:sz w:val="22"/>
          <w:szCs w:val="22"/>
          <w:lang w:val="en-US" w:eastAsia="zh-CN"/>
        </w:rPr>
        <w:t xml:space="preserve"> </w:t>
      </w:r>
      <w:r>
        <w:rPr>
          <w:b/>
          <w:bCs/>
          <w:i/>
          <w:iCs/>
          <w:sz w:val="22"/>
          <w:szCs w:val="22"/>
          <w:lang w:val="en-US" w:eastAsia="zh-CN"/>
        </w:rPr>
        <w:t>60kHz and 120kHz SCS for FR2 are not excluded explicitly for PDC use cases.</w:t>
      </w:r>
    </w:p>
    <w:p w14:paraId="74A04D6E" w14:textId="77777777" w:rsidR="00E53375" w:rsidRPr="004F231B" w:rsidRDefault="00E53375" w:rsidP="00745426">
      <w:pPr>
        <w:spacing w:before="240" w:after="0"/>
        <w:rPr>
          <w:sz w:val="22"/>
          <w:szCs w:val="22"/>
          <w:lang w:val="en-US"/>
        </w:rPr>
      </w:pPr>
    </w:p>
    <w:bookmarkEnd w:id="10"/>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3"/>
      <w:bookmarkEnd w:id="4"/>
    </w:p>
    <w:p w14:paraId="17A20978" w14:textId="560F3940" w:rsidR="00D354F1" w:rsidRPr="00D354F1" w:rsidRDefault="00D354F1" w:rsidP="00E16C7B">
      <w:pPr>
        <w:pStyle w:val="ListParagraph"/>
        <w:numPr>
          <w:ilvl w:val="0"/>
          <w:numId w:val="2"/>
        </w:numPr>
        <w:spacing w:before="240"/>
        <w:contextualSpacing w:val="0"/>
        <w:rPr>
          <w:rFonts w:ascii="Times New Roman" w:hAnsi="Times New Roman"/>
          <w:szCs w:val="22"/>
        </w:rPr>
      </w:pPr>
      <w:r w:rsidRPr="00D354F1">
        <w:rPr>
          <w:rFonts w:ascii="Times New Roman" w:hAnsi="Times New Roman"/>
          <w:szCs w:val="22"/>
        </w:rPr>
        <w:t>R4-2202782</w:t>
      </w:r>
      <w:r w:rsidRPr="00D354F1">
        <w:rPr>
          <w:rFonts w:ascii="Times New Roman" w:hAnsi="Times New Roman"/>
          <w:szCs w:val="22"/>
        </w:rPr>
        <w:tab/>
        <w:t xml:space="preserve">WF on </w:t>
      </w:r>
      <w:proofErr w:type="spellStart"/>
      <w:r w:rsidRPr="00D354F1">
        <w:rPr>
          <w:rFonts w:ascii="Times New Roman" w:hAnsi="Times New Roman"/>
          <w:szCs w:val="22"/>
        </w:rPr>
        <w:t>NR_IIOT_URLLC_enh</w:t>
      </w:r>
      <w:proofErr w:type="spellEnd"/>
      <w:r w:rsidRPr="00D354F1">
        <w:rPr>
          <w:rFonts w:ascii="Times New Roman" w:hAnsi="Times New Roman"/>
          <w:szCs w:val="22"/>
        </w:rPr>
        <w:t xml:space="preserve"> RRM requirements, Nokia, Nokia Shanghai Bell</w:t>
      </w:r>
    </w:p>
    <w:p w14:paraId="310CD504" w14:textId="0735BE22" w:rsidR="00A91E82" w:rsidRPr="00D354F1" w:rsidRDefault="00A91E82" w:rsidP="00A91E82">
      <w:pPr>
        <w:pStyle w:val="ListParagraph"/>
        <w:numPr>
          <w:ilvl w:val="0"/>
          <w:numId w:val="2"/>
        </w:numPr>
        <w:spacing w:before="240"/>
        <w:contextualSpacing w:val="0"/>
        <w:rPr>
          <w:rFonts w:ascii="Times New Roman" w:hAnsi="Times New Roman"/>
          <w:szCs w:val="22"/>
        </w:rPr>
      </w:pPr>
      <w:r w:rsidRPr="00D354F1">
        <w:rPr>
          <w:rFonts w:ascii="Times New Roman" w:hAnsi="Times New Roman"/>
          <w:szCs w:val="22"/>
        </w:rPr>
        <w:t>R4-220</w:t>
      </w:r>
      <w:r>
        <w:rPr>
          <w:rFonts w:ascii="Times New Roman" w:hAnsi="Times New Roman"/>
          <w:szCs w:val="22"/>
        </w:rPr>
        <w:t>4648</w:t>
      </w:r>
      <w:r w:rsidRPr="00D354F1">
        <w:rPr>
          <w:rFonts w:ascii="Times New Roman" w:hAnsi="Times New Roman"/>
          <w:szCs w:val="22"/>
        </w:rPr>
        <w:tab/>
      </w:r>
      <w:r w:rsidRPr="00A91E82">
        <w:rPr>
          <w:rFonts w:ascii="Times New Roman" w:hAnsi="Times New Roman"/>
          <w:szCs w:val="22"/>
        </w:rPr>
        <w:t>Simulation results for TRS based PDC</w:t>
      </w:r>
      <w:r w:rsidRPr="00D354F1">
        <w:rPr>
          <w:rFonts w:ascii="Times New Roman" w:hAnsi="Times New Roman"/>
          <w:szCs w:val="22"/>
        </w:rPr>
        <w:t xml:space="preserve">, </w:t>
      </w:r>
      <w:r>
        <w:rPr>
          <w:rFonts w:ascii="Times New Roman" w:hAnsi="Times New Roman"/>
          <w:szCs w:val="22"/>
        </w:rPr>
        <w:t>vivo</w:t>
      </w:r>
    </w:p>
    <w:p w14:paraId="4EA47F86" w14:textId="77777777" w:rsidR="00A91E82" w:rsidRPr="00D354F1" w:rsidRDefault="00A91E82">
      <w:pPr>
        <w:pStyle w:val="ListParagraph"/>
        <w:numPr>
          <w:ilvl w:val="0"/>
          <w:numId w:val="2"/>
        </w:numPr>
        <w:spacing w:before="240"/>
        <w:contextualSpacing w:val="0"/>
        <w:rPr>
          <w:rFonts w:ascii="Times New Roman" w:hAnsi="Times New Roman"/>
          <w:szCs w:val="22"/>
        </w:rPr>
      </w:pPr>
    </w:p>
    <w:sectPr w:rsidR="00A91E82" w:rsidRPr="00D354F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EAAB" w14:textId="77777777" w:rsidR="00E42EEA" w:rsidRDefault="00E42EEA">
      <w:r>
        <w:separator/>
      </w:r>
    </w:p>
  </w:endnote>
  <w:endnote w:type="continuationSeparator" w:id="0">
    <w:p w14:paraId="70AC4F7F" w14:textId="77777777" w:rsidR="00E42EEA" w:rsidRDefault="00E4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1A565" w14:textId="77777777" w:rsidR="00E42EEA" w:rsidRDefault="00E42EEA">
      <w:r>
        <w:separator/>
      </w:r>
    </w:p>
  </w:footnote>
  <w:footnote w:type="continuationSeparator" w:id="0">
    <w:p w14:paraId="5259862F" w14:textId="77777777" w:rsidR="00E42EEA" w:rsidRDefault="00E4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0C7477"/>
    <w:multiLevelType w:val="hybridMultilevel"/>
    <w:tmpl w:val="B526057A"/>
    <w:lvl w:ilvl="0" w:tplc="04090001">
      <w:start w:val="1"/>
      <w:numFmt w:val="bullet"/>
      <w:lvlText w:val=""/>
      <w:lvlJc w:val="left"/>
      <w:pPr>
        <w:ind w:left="644" w:hanging="360"/>
      </w:pPr>
      <w:rPr>
        <w:rFonts w:ascii="Symbol" w:hAnsi="Symbo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1A776C9E"/>
    <w:multiLevelType w:val="hybridMultilevel"/>
    <w:tmpl w:val="9596252A"/>
    <w:lvl w:ilvl="0" w:tplc="2CA058BC">
      <w:start w:val="1"/>
      <w:numFmt w:val="bullet"/>
      <w:lvlText w:val="•"/>
      <w:lvlJc w:val="left"/>
      <w:pPr>
        <w:tabs>
          <w:tab w:val="num" w:pos="360"/>
        </w:tabs>
        <w:ind w:left="360" w:hanging="360"/>
      </w:pPr>
      <w:rPr>
        <w:rFonts w:ascii="Arial" w:hAnsi="Arial" w:hint="default"/>
      </w:rPr>
    </w:lvl>
    <w:lvl w:ilvl="1" w:tplc="A8263288">
      <w:start w:val="1"/>
      <w:numFmt w:val="bullet"/>
      <w:lvlText w:val="•"/>
      <w:lvlJc w:val="left"/>
      <w:pPr>
        <w:tabs>
          <w:tab w:val="num" w:pos="1080"/>
        </w:tabs>
        <w:ind w:left="1080" w:hanging="360"/>
      </w:pPr>
      <w:rPr>
        <w:rFonts w:ascii="Arial" w:hAnsi="Arial" w:hint="default"/>
      </w:rPr>
    </w:lvl>
    <w:lvl w:ilvl="2" w:tplc="F21EEA46" w:tentative="1">
      <w:start w:val="1"/>
      <w:numFmt w:val="bullet"/>
      <w:lvlText w:val="•"/>
      <w:lvlJc w:val="left"/>
      <w:pPr>
        <w:tabs>
          <w:tab w:val="num" w:pos="1800"/>
        </w:tabs>
        <w:ind w:left="1800" w:hanging="360"/>
      </w:pPr>
      <w:rPr>
        <w:rFonts w:ascii="Arial" w:hAnsi="Arial" w:hint="default"/>
      </w:rPr>
    </w:lvl>
    <w:lvl w:ilvl="3" w:tplc="0DE2D988" w:tentative="1">
      <w:start w:val="1"/>
      <w:numFmt w:val="bullet"/>
      <w:lvlText w:val="•"/>
      <w:lvlJc w:val="left"/>
      <w:pPr>
        <w:tabs>
          <w:tab w:val="num" w:pos="2520"/>
        </w:tabs>
        <w:ind w:left="2520" w:hanging="360"/>
      </w:pPr>
      <w:rPr>
        <w:rFonts w:ascii="Arial" w:hAnsi="Arial" w:hint="default"/>
      </w:rPr>
    </w:lvl>
    <w:lvl w:ilvl="4" w:tplc="BD6A41E4" w:tentative="1">
      <w:start w:val="1"/>
      <w:numFmt w:val="bullet"/>
      <w:lvlText w:val="•"/>
      <w:lvlJc w:val="left"/>
      <w:pPr>
        <w:tabs>
          <w:tab w:val="num" w:pos="3240"/>
        </w:tabs>
        <w:ind w:left="3240" w:hanging="360"/>
      </w:pPr>
      <w:rPr>
        <w:rFonts w:ascii="Arial" w:hAnsi="Arial" w:hint="default"/>
      </w:rPr>
    </w:lvl>
    <w:lvl w:ilvl="5" w:tplc="20142234" w:tentative="1">
      <w:start w:val="1"/>
      <w:numFmt w:val="bullet"/>
      <w:lvlText w:val="•"/>
      <w:lvlJc w:val="left"/>
      <w:pPr>
        <w:tabs>
          <w:tab w:val="num" w:pos="3960"/>
        </w:tabs>
        <w:ind w:left="3960" w:hanging="360"/>
      </w:pPr>
      <w:rPr>
        <w:rFonts w:ascii="Arial" w:hAnsi="Arial" w:hint="default"/>
      </w:rPr>
    </w:lvl>
    <w:lvl w:ilvl="6" w:tplc="69183774" w:tentative="1">
      <w:start w:val="1"/>
      <w:numFmt w:val="bullet"/>
      <w:lvlText w:val="•"/>
      <w:lvlJc w:val="left"/>
      <w:pPr>
        <w:tabs>
          <w:tab w:val="num" w:pos="4680"/>
        </w:tabs>
        <w:ind w:left="4680" w:hanging="360"/>
      </w:pPr>
      <w:rPr>
        <w:rFonts w:ascii="Arial" w:hAnsi="Arial" w:hint="default"/>
      </w:rPr>
    </w:lvl>
    <w:lvl w:ilvl="7" w:tplc="E3641268" w:tentative="1">
      <w:start w:val="1"/>
      <w:numFmt w:val="bullet"/>
      <w:lvlText w:val="•"/>
      <w:lvlJc w:val="left"/>
      <w:pPr>
        <w:tabs>
          <w:tab w:val="num" w:pos="5400"/>
        </w:tabs>
        <w:ind w:left="5400" w:hanging="360"/>
      </w:pPr>
      <w:rPr>
        <w:rFonts w:ascii="Arial" w:hAnsi="Arial" w:hint="default"/>
      </w:rPr>
    </w:lvl>
    <w:lvl w:ilvl="8" w:tplc="73D40E1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F77D82"/>
    <w:multiLevelType w:val="hybridMultilevel"/>
    <w:tmpl w:val="E3C4557E"/>
    <w:lvl w:ilvl="0" w:tplc="0F326130">
      <w:start w:val="9"/>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7267C66"/>
    <w:multiLevelType w:val="hybridMultilevel"/>
    <w:tmpl w:val="AD7018A0"/>
    <w:lvl w:ilvl="0" w:tplc="14E03774">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5077E6"/>
    <w:multiLevelType w:val="hybridMultilevel"/>
    <w:tmpl w:val="0B1A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7"/>
  </w:num>
  <w:num w:numId="2">
    <w:abstractNumId w:val="0"/>
  </w:num>
  <w:num w:numId="3">
    <w:abstractNumId w:val="11"/>
  </w:num>
  <w:num w:numId="4">
    <w:abstractNumId w:val="10"/>
  </w:num>
  <w:num w:numId="5">
    <w:abstractNumId w:val="2"/>
  </w:num>
  <w:num w:numId="6">
    <w:abstractNumId w:val="3"/>
  </w:num>
  <w:num w:numId="7">
    <w:abstractNumId w:val="4"/>
  </w:num>
  <w:num w:numId="8">
    <w:abstractNumId w:val="8"/>
  </w:num>
  <w:num w:numId="9">
    <w:abstractNumId w:val="6"/>
  </w:num>
  <w:num w:numId="10">
    <w:abstractNumId w:val="7"/>
  </w:num>
  <w:num w:numId="11">
    <w:abstractNumId w:val="5"/>
  </w:num>
  <w:num w:numId="12">
    <w:abstractNumId w:val="15"/>
  </w:num>
  <w:num w:numId="13">
    <w:abstractNumId w:val="14"/>
  </w:num>
  <w:num w:numId="14">
    <w:abstractNumId w:val="1"/>
  </w:num>
  <w:num w:numId="15">
    <w:abstractNumId w:val="16"/>
  </w:num>
  <w:num w:numId="16">
    <w:abstractNumId w:val="13"/>
  </w:num>
  <w:num w:numId="17">
    <w:abstractNumId w:val="9"/>
  </w:num>
  <w:num w:numId="1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7AC"/>
    <w:rsid w:val="00013D9A"/>
    <w:rsid w:val="00015045"/>
    <w:rsid w:val="0001570A"/>
    <w:rsid w:val="000160A7"/>
    <w:rsid w:val="00016316"/>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6F8"/>
    <w:rsid w:val="00030A91"/>
    <w:rsid w:val="000319F0"/>
    <w:rsid w:val="00032498"/>
    <w:rsid w:val="00033433"/>
    <w:rsid w:val="00033920"/>
    <w:rsid w:val="00033A96"/>
    <w:rsid w:val="00033D21"/>
    <w:rsid w:val="000345E5"/>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4F0"/>
    <w:rsid w:val="00052FA7"/>
    <w:rsid w:val="00052FAD"/>
    <w:rsid w:val="0005410F"/>
    <w:rsid w:val="000543BC"/>
    <w:rsid w:val="0005475E"/>
    <w:rsid w:val="00055CAA"/>
    <w:rsid w:val="00055E7A"/>
    <w:rsid w:val="00056B58"/>
    <w:rsid w:val="00056C6B"/>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B6D"/>
    <w:rsid w:val="00073DA3"/>
    <w:rsid w:val="00073E5A"/>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AA1"/>
    <w:rsid w:val="00085B9F"/>
    <w:rsid w:val="000863C7"/>
    <w:rsid w:val="00087BDE"/>
    <w:rsid w:val="00087C28"/>
    <w:rsid w:val="000918DE"/>
    <w:rsid w:val="00091B5D"/>
    <w:rsid w:val="000926B1"/>
    <w:rsid w:val="00092D06"/>
    <w:rsid w:val="00092F78"/>
    <w:rsid w:val="00093608"/>
    <w:rsid w:val="00095ABE"/>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BEF"/>
    <w:rsid w:val="000A6F55"/>
    <w:rsid w:val="000B0BFC"/>
    <w:rsid w:val="000B0D64"/>
    <w:rsid w:val="000B1435"/>
    <w:rsid w:val="000B16F8"/>
    <w:rsid w:val="000B1E46"/>
    <w:rsid w:val="000B1ECC"/>
    <w:rsid w:val="000B21B8"/>
    <w:rsid w:val="000B30F6"/>
    <w:rsid w:val="000B3B8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AE9"/>
    <w:rsid w:val="000C5DD6"/>
    <w:rsid w:val="000C6598"/>
    <w:rsid w:val="000C7B6F"/>
    <w:rsid w:val="000D0030"/>
    <w:rsid w:val="000D0F90"/>
    <w:rsid w:val="000D1334"/>
    <w:rsid w:val="000D194C"/>
    <w:rsid w:val="000D1BAB"/>
    <w:rsid w:val="000D1F2F"/>
    <w:rsid w:val="000D22B0"/>
    <w:rsid w:val="000D4437"/>
    <w:rsid w:val="000D45E7"/>
    <w:rsid w:val="000D4803"/>
    <w:rsid w:val="000D49E8"/>
    <w:rsid w:val="000D4C06"/>
    <w:rsid w:val="000D4DB1"/>
    <w:rsid w:val="000D4F7A"/>
    <w:rsid w:val="000D53FA"/>
    <w:rsid w:val="000D5665"/>
    <w:rsid w:val="000D5A61"/>
    <w:rsid w:val="000D63A5"/>
    <w:rsid w:val="000D6B3F"/>
    <w:rsid w:val="000D6F21"/>
    <w:rsid w:val="000D7911"/>
    <w:rsid w:val="000D7DE0"/>
    <w:rsid w:val="000E033C"/>
    <w:rsid w:val="000E0A75"/>
    <w:rsid w:val="000E0E0D"/>
    <w:rsid w:val="000E2319"/>
    <w:rsid w:val="000E2999"/>
    <w:rsid w:val="000E3C50"/>
    <w:rsid w:val="000E3C71"/>
    <w:rsid w:val="000E4294"/>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078CA"/>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1F6"/>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49DF"/>
    <w:rsid w:val="00134D46"/>
    <w:rsid w:val="001356A2"/>
    <w:rsid w:val="00135992"/>
    <w:rsid w:val="00136422"/>
    <w:rsid w:val="00136C3B"/>
    <w:rsid w:val="00136FAC"/>
    <w:rsid w:val="001403A2"/>
    <w:rsid w:val="00141163"/>
    <w:rsid w:val="00141583"/>
    <w:rsid w:val="00141A06"/>
    <w:rsid w:val="00141B59"/>
    <w:rsid w:val="00141DE2"/>
    <w:rsid w:val="00141F88"/>
    <w:rsid w:val="0014237B"/>
    <w:rsid w:val="00142C78"/>
    <w:rsid w:val="00143422"/>
    <w:rsid w:val="00143690"/>
    <w:rsid w:val="00143D25"/>
    <w:rsid w:val="00144CE6"/>
    <w:rsid w:val="00145CBE"/>
    <w:rsid w:val="00145D43"/>
    <w:rsid w:val="00146326"/>
    <w:rsid w:val="00146573"/>
    <w:rsid w:val="0015069F"/>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0CA2"/>
    <w:rsid w:val="001710A2"/>
    <w:rsid w:val="00171339"/>
    <w:rsid w:val="00171FCF"/>
    <w:rsid w:val="00172651"/>
    <w:rsid w:val="001728D2"/>
    <w:rsid w:val="00173053"/>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5049"/>
    <w:rsid w:val="00195DD3"/>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5429"/>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54C"/>
    <w:rsid w:val="001E063C"/>
    <w:rsid w:val="001E070D"/>
    <w:rsid w:val="001E09A2"/>
    <w:rsid w:val="001E0D82"/>
    <w:rsid w:val="001E1182"/>
    <w:rsid w:val="001E1947"/>
    <w:rsid w:val="001E2561"/>
    <w:rsid w:val="001E3527"/>
    <w:rsid w:val="001E41F3"/>
    <w:rsid w:val="001E5124"/>
    <w:rsid w:val="001E5E0B"/>
    <w:rsid w:val="001E69C5"/>
    <w:rsid w:val="001E6BE8"/>
    <w:rsid w:val="001E6F15"/>
    <w:rsid w:val="001E704E"/>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CD9"/>
    <w:rsid w:val="00204E57"/>
    <w:rsid w:val="0020520D"/>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50F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2F5D"/>
    <w:rsid w:val="002356C8"/>
    <w:rsid w:val="00235D6D"/>
    <w:rsid w:val="00236E73"/>
    <w:rsid w:val="00236EC0"/>
    <w:rsid w:val="002376D0"/>
    <w:rsid w:val="00240C0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2D03"/>
    <w:rsid w:val="00283073"/>
    <w:rsid w:val="0028349E"/>
    <w:rsid w:val="00283DDE"/>
    <w:rsid w:val="00283E36"/>
    <w:rsid w:val="00284F7B"/>
    <w:rsid w:val="002860C4"/>
    <w:rsid w:val="002876B9"/>
    <w:rsid w:val="00291037"/>
    <w:rsid w:val="0029178E"/>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6D1"/>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29A5"/>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32A"/>
    <w:rsid w:val="002D3E0E"/>
    <w:rsid w:val="002D3F64"/>
    <w:rsid w:val="002D447B"/>
    <w:rsid w:val="002D502E"/>
    <w:rsid w:val="002D5098"/>
    <w:rsid w:val="002D7559"/>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2FEB"/>
    <w:rsid w:val="003030DC"/>
    <w:rsid w:val="003039DA"/>
    <w:rsid w:val="00303C0A"/>
    <w:rsid w:val="003052E9"/>
    <w:rsid w:val="00305409"/>
    <w:rsid w:val="0030790D"/>
    <w:rsid w:val="00307CA4"/>
    <w:rsid w:val="00310823"/>
    <w:rsid w:val="00310A36"/>
    <w:rsid w:val="00312007"/>
    <w:rsid w:val="00312DFD"/>
    <w:rsid w:val="00313B48"/>
    <w:rsid w:val="00314A9A"/>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38C"/>
    <w:rsid w:val="00340BF6"/>
    <w:rsid w:val="00341121"/>
    <w:rsid w:val="00341B75"/>
    <w:rsid w:val="00343C53"/>
    <w:rsid w:val="0034403D"/>
    <w:rsid w:val="0034523B"/>
    <w:rsid w:val="003466AD"/>
    <w:rsid w:val="00347054"/>
    <w:rsid w:val="00347873"/>
    <w:rsid w:val="00347EB2"/>
    <w:rsid w:val="00350F38"/>
    <w:rsid w:val="0035274B"/>
    <w:rsid w:val="003527CF"/>
    <w:rsid w:val="003536C1"/>
    <w:rsid w:val="00355397"/>
    <w:rsid w:val="00356150"/>
    <w:rsid w:val="0035635D"/>
    <w:rsid w:val="003563DC"/>
    <w:rsid w:val="00356899"/>
    <w:rsid w:val="00356BA0"/>
    <w:rsid w:val="0035760F"/>
    <w:rsid w:val="00360CD0"/>
    <w:rsid w:val="00362568"/>
    <w:rsid w:val="00362738"/>
    <w:rsid w:val="0036278B"/>
    <w:rsid w:val="00363F28"/>
    <w:rsid w:val="00364262"/>
    <w:rsid w:val="003645D7"/>
    <w:rsid w:val="0036497A"/>
    <w:rsid w:val="00364F60"/>
    <w:rsid w:val="00367644"/>
    <w:rsid w:val="003678BD"/>
    <w:rsid w:val="00370700"/>
    <w:rsid w:val="003707D3"/>
    <w:rsid w:val="00372D8C"/>
    <w:rsid w:val="00373587"/>
    <w:rsid w:val="003735BE"/>
    <w:rsid w:val="003739E3"/>
    <w:rsid w:val="003745C3"/>
    <w:rsid w:val="00375141"/>
    <w:rsid w:val="00375852"/>
    <w:rsid w:val="0037698A"/>
    <w:rsid w:val="00377507"/>
    <w:rsid w:val="003801B7"/>
    <w:rsid w:val="00380683"/>
    <w:rsid w:val="003807FC"/>
    <w:rsid w:val="00380E2C"/>
    <w:rsid w:val="003810CA"/>
    <w:rsid w:val="003814E5"/>
    <w:rsid w:val="00381B4C"/>
    <w:rsid w:val="00382649"/>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388"/>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65"/>
    <w:rsid w:val="003C4D7F"/>
    <w:rsid w:val="003C4D89"/>
    <w:rsid w:val="003C5391"/>
    <w:rsid w:val="003C5B1C"/>
    <w:rsid w:val="003C6E43"/>
    <w:rsid w:val="003C6E91"/>
    <w:rsid w:val="003C70CF"/>
    <w:rsid w:val="003C7222"/>
    <w:rsid w:val="003C7BB8"/>
    <w:rsid w:val="003C7D32"/>
    <w:rsid w:val="003D063A"/>
    <w:rsid w:val="003D0759"/>
    <w:rsid w:val="003D103F"/>
    <w:rsid w:val="003D2099"/>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262"/>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2218"/>
    <w:rsid w:val="004037E8"/>
    <w:rsid w:val="004040A8"/>
    <w:rsid w:val="004041C4"/>
    <w:rsid w:val="0041023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5A56"/>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5CB2"/>
    <w:rsid w:val="00445ED8"/>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AF6"/>
    <w:rsid w:val="00461B73"/>
    <w:rsid w:val="00461E29"/>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20D"/>
    <w:rsid w:val="0047733E"/>
    <w:rsid w:val="0047737D"/>
    <w:rsid w:val="004778EB"/>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8E"/>
    <w:rsid w:val="0049115F"/>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231B"/>
    <w:rsid w:val="004F3748"/>
    <w:rsid w:val="004F4AAA"/>
    <w:rsid w:val="004F5342"/>
    <w:rsid w:val="004F5851"/>
    <w:rsid w:val="004F61F5"/>
    <w:rsid w:val="004F762E"/>
    <w:rsid w:val="00500308"/>
    <w:rsid w:val="00502095"/>
    <w:rsid w:val="005020BE"/>
    <w:rsid w:val="005028C4"/>
    <w:rsid w:val="00504CAE"/>
    <w:rsid w:val="00504FEB"/>
    <w:rsid w:val="00505999"/>
    <w:rsid w:val="00506C4B"/>
    <w:rsid w:val="0050749F"/>
    <w:rsid w:val="005076BB"/>
    <w:rsid w:val="00507A5C"/>
    <w:rsid w:val="005105B3"/>
    <w:rsid w:val="00510914"/>
    <w:rsid w:val="005118F8"/>
    <w:rsid w:val="00512179"/>
    <w:rsid w:val="005131E0"/>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8EA"/>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61B"/>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497E"/>
    <w:rsid w:val="005A57E4"/>
    <w:rsid w:val="005A5BCD"/>
    <w:rsid w:val="005A6244"/>
    <w:rsid w:val="005A67CF"/>
    <w:rsid w:val="005A6BB0"/>
    <w:rsid w:val="005A75C4"/>
    <w:rsid w:val="005A794C"/>
    <w:rsid w:val="005A79D8"/>
    <w:rsid w:val="005B0B61"/>
    <w:rsid w:val="005B0C6D"/>
    <w:rsid w:val="005B1D62"/>
    <w:rsid w:val="005B2778"/>
    <w:rsid w:val="005B2C57"/>
    <w:rsid w:val="005B383F"/>
    <w:rsid w:val="005B4372"/>
    <w:rsid w:val="005B43E4"/>
    <w:rsid w:val="005B4917"/>
    <w:rsid w:val="005B5717"/>
    <w:rsid w:val="005B5FC2"/>
    <w:rsid w:val="005B70B1"/>
    <w:rsid w:val="005B782B"/>
    <w:rsid w:val="005C106F"/>
    <w:rsid w:val="005C1535"/>
    <w:rsid w:val="005C2DCD"/>
    <w:rsid w:val="005C37DA"/>
    <w:rsid w:val="005C37F3"/>
    <w:rsid w:val="005C39D2"/>
    <w:rsid w:val="005C4E0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44"/>
    <w:rsid w:val="005F6A73"/>
    <w:rsid w:val="005F758B"/>
    <w:rsid w:val="006003E1"/>
    <w:rsid w:val="00600409"/>
    <w:rsid w:val="00600EF9"/>
    <w:rsid w:val="00601005"/>
    <w:rsid w:val="0060112A"/>
    <w:rsid w:val="00602BA6"/>
    <w:rsid w:val="0060426B"/>
    <w:rsid w:val="006042DE"/>
    <w:rsid w:val="00604BAC"/>
    <w:rsid w:val="006053D4"/>
    <w:rsid w:val="006061CE"/>
    <w:rsid w:val="006075F4"/>
    <w:rsid w:val="00607835"/>
    <w:rsid w:val="00607BF2"/>
    <w:rsid w:val="00607ECA"/>
    <w:rsid w:val="00610135"/>
    <w:rsid w:val="0061114D"/>
    <w:rsid w:val="00611667"/>
    <w:rsid w:val="00611728"/>
    <w:rsid w:val="006125D5"/>
    <w:rsid w:val="00613011"/>
    <w:rsid w:val="00613AFE"/>
    <w:rsid w:val="00614117"/>
    <w:rsid w:val="00614F7D"/>
    <w:rsid w:val="0061501D"/>
    <w:rsid w:val="00615F57"/>
    <w:rsid w:val="00616605"/>
    <w:rsid w:val="00616C66"/>
    <w:rsid w:val="00616CAC"/>
    <w:rsid w:val="00616CBA"/>
    <w:rsid w:val="00616E51"/>
    <w:rsid w:val="00617384"/>
    <w:rsid w:val="00617643"/>
    <w:rsid w:val="00621188"/>
    <w:rsid w:val="0062366A"/>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26B"/>
    <w:rsid w:val="0064384A"/>
    <w:rsid w:val="00644164"/>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0D46"/>
    <w:rsid w:val="00661091"/>
    <w:rsid w:val="00661BF5"/>
    <w:rsid w:val="00662DE9"/>
    <w:rsid w:val="00663D18"/>
    <w:rsid w:val="00663D21"/>
    <w:rsid w:val="00663FAB"/>
    <w:rsid w:val="006663D5"/>
    <w:rsid w:val="00666C33"/>
    <w:rsid w:val="00666D1D"/>
    <w:rsid w:val="00667010"/>
    <w:rsid w:val="00667188"/>
    <w:rsid w:val="00670498"/>
    <w:rsid w:val="0067096B"/>
    <w:rsid w:val="00670F20"/>
    <w:rsid w:val="00671EB8"/>
    <w:rsid w:val="006734FD"/>
    <w:rsid w:val="006738C3"/>
    <w:rsid w:val="00674233"/>
    <w:rsid w:val="00675A6B"/>
    <w:rsid w:val="00675EB0"/>
    <w:rsid w:val="00675FB0"/>
    <w:rsid w:val="0067659A"/>
    <w:rsid w:val="006777A7"/>
    <w:rsid w:val="00677D04"/>
    <w:rsid w:val="00681593"/>
    <w:rsid w:val="00681AC4"/>
    <w:rsid w:val="00682C60"/>
    <w:rsid w:val="00683937"/>
    <w:rsid w:val="006850E9"/>
    <w:rsid w:val="006851E9"/>
    <w:rsid w:val="00686896"/>
    <w:rsid w:val="006879AF"/>
    <w:rsid w:val="00687EC4"/>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1920"/>
    <w:rsid w:val="006C2272"/>
    <w:rsid w:val="006C2B34"/>
    <w:rsid w:val="006C3742"/>
    <w:rsid w:val="006C3854"/>
    <w:rsid w:val="006C3955"/>
    <w:rsid w:val="006C47E7"/>
    <w:rsid w:val="006C60F5"/>
    <w:rsid w:val="006C715A"/>
    <w:rsid w:val="006C72C2"/>
    <w:rsid w:val="006D01D3"/>
    <w:rsid w:val="006D18BC"/>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041"/>
    <w:rsid w:val="006E5328"/>
    <w:rsid w:val="006E53CB"/>
    <w:rsid w:val="006E599A"/>
    <w:rsid w:val="006E5D48"/>
    <w:rsid w:val="006E6087"/>
    <w:rsid w:val="006E64C3"/>
    <w:rsid w:val="006E65E2"/>
    <w:rsid w:val="006E7076"/>
    <w:rsid w:val="006E70F8"/>
    <w:rsid w:val="006E73C4"/>
    <w:rsid w:val="006E78AB"/>
    <w:rsid w:val="006E7F3B"/>
    <w:rsid w:val="006F092E"/>
    <w:rsid w:val="006F173E"/>
    <w:rsid w:val="006F2139"/>
    <w:rsid w:val="006F2275"/>
    <w:rsid w:val="006F2BB1"/>
    <w:rsid w:val="006F5D6C"/>
    <w:rsid w:val="006F5EBF"/>
    <w:rsid w:val="006F5F8B"/>
    <w:rsid w:val="006F6193"/>
    <w:rsid w:val="006F74F8"/>
    <w:rsid w:val="006F74F9"/>
    <w:rsid w:val="007006FC"/>
    <w:rsid w:val="00701C5B"/>
    <w:rsid w:val="00702443"/>
    <w:rsid w:val="00703659"/>
    <w:rsid w:val="0070403C"/>
    <w:rsid w:val="0070411E"/>
    <w:rsid w:val="0070427F"/>
    <w:rsid w:val="0070628F"/>
    <w:rsid w:val="00706710"/>
    <w:rsid w:val="00710AB7"/>
    <w:rsid w:val="00711447"/>
    <w:rsid w:val="0071176A"/>
    <w:rsid w:val="00711BA6"/>
    <w:rsid w:val="00711CD7"/>
    <w:rsid w:val="007120AE"/>
    <w:rsid w:val="007120F4"/>
    <w:rsid w:val="007129E6"/>
    <w:rsid w:val="00712B09"/>
    <w:rsid w:val="00712F2E"/>
    <w:rsid w:val="00713A42"/>
    <w:rsid w:val="00713B03"/>
    <w:rsid w:val="00713B40"/>
    <w:rsid w:val="00714068"/>
    <w:rsid w:val="00714355"/>
    <w:rsid w:val="0071514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3A"/>
    <w:rsid w:val="00737D6B"/>
    <w:rsid w:val="00737E04"/>
    <w:rsid w:val="0074196E"/>
    <w:rsid w:val="00741EC0"/>
    <w:rsid w:val="00743550"/>
    <w:rsid w:val="0074380F"/>
    <w:rsid w:val="00743B6A"/>
    <w:rsid w:val="00743E35"/>
    <w:rsid w:val="0074467A"/>
    <w:rsid w:val="00744952"/>
    <w:rsid w:val="007453BB"/>
    <w:rsid w:val="00745426"/>
    <w:rsid w:val="00745545"/>
    <w:rsid w:val="00745F3E"/>
    <w:rsid w:val="00746FD4"/>
    <w:rsid w:val="00747830"/>
    <w:rsid w:val="00747ECF"/>
    <w:rsid w:val="007502FA"/>
    <w:rsid w:val="0075180D"/>
    <w:rsid w:val="00751CE2"/>
    <w:rsid w:val="00751D9D"/>
    <w:rsid w:val="00752043"/>
    <w:rsid w:val="007526B0"/>
    <w:rsid w:val="00753659"/>
    <w:rsid w:val="007547E0"/>
    <w:rsid w:val="00755C0C"/>
    <w:rsid w:val="0076004E"/>
    <w:rsid w:val="007607A4"/>
    <w:rsid w:val="00762B49"/>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5499"/>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A7B8D"/>
    <w:rsid w:val="007B05C3"/>
    <w:rsid w:val="007B074B"/>
    <w:rsid w:val="007B08FF"/>
    <w:rsid w:val="007B0F89"/>
    <w:rsid w:val="007B2612"/>
    <w:rsid w:val="007B2693"/>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AC0"/>
    <w:rsid w:val="007C6FC5"/>
    <w:rsid w:val="007C70BE"/>
    <w:rsid w:val="007C7C38"/>
    <w:rsid w:val="007C7F90"/>
    <w:rsid w:val="007D0071"/>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4ED"/>
    <w:rsid w:val="007F5748"/>
    <w:rsid w:val="007F7200"/>
    <w:rsid w:val="007F7C4C"/>
    <w:rsid w:val="007F7C71"/>
    <w:rsid w:val="0080082D"/>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197B"/>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015"/>
    <w:rsid w:val="008342E4"/>
    <w:rsid w:val="0083492C"/>
    <w:rsid w:val="00835990"/>
    <w:rsid w:val="008368DF"/>
    <w:rsid w:val="00836B28"/>
    <w:rsid w:val="00837400"/>
    <w:rsid w:val="00837D1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421"/>
    <w:rsid w:val="008467E1"/>
    <w:rsid w:val="00846B44"/>
    <w:rsid w:val="0084737B"/>
    <w:rsid w:val="0085074D"/>
    <w:rsid w:val="00850857"/>
    <w:rsid w:val="008508FD"/>
    <w:rsid w:val="00851657"/>
    <w:rsid w:val="00851EBE"/>
    <w:rsid w:val="00852EAD"/>
    <w:rsid w:val="00853694"/>
    <w:rsid w:val="00853977"/>
    <w:rsid w:val="00853ACF"/>
    <w:rsid w:val="00853B65"/>
    <w:rsid w:val="00853B79"/>
    <w:rsid w:val="00854362"/>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77225"/>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C7F26"/>
    <w:rsid w:val="008D001D"/>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B05"/>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337"/>
    <w:rsid w:val="008F74CD"/>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69DD"/>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86E"/>
    <w:rsid w:val="00933EC9"/>
    <w:rsid w:val="0093465F"/>
    <w:rsid w:val="009348D9"/>
    <w:rsid w:val="00934A3F"/>
    <w:rsid w:val="00935BA2"/>
    <w:rsid w:val="00935CB5"/>
    <w:rsid w:val="00935F80"/>
    <w:rsid w:val="0093736D"/>
    <w:rsid w:val="00940C82"/>
    <w:rsid w:val="00940EA4"/>
    <w:rsid w:val="00941C8B"/>
    <w:rsid w:val="009430FF"/>
    <w:rsid w:val="00943F8B"/>
    <w:rsid w:val="00945398"/>
    <w:rsid w:val="009454E0"/>
    <w:rsid w:val="00945589"/>
    <w:rsid w:val="00945761"/>
    <w:rsid w:val="00945BED"/>
    <w:rsid w:val="009460DD"/>
    <w:rsid w:val="00946149"/>
    <w:rsid w:val="0094621D"/>
    <w:rsid w:val="009507DC"/>
    <w:rsid w:val="0095091B"/>
    <w:rsid w:val="00951008"/>
    <w:rsid w:val="009512D9"/>
    <w:rsid w:val="00951332"/>
    <w:rsid w:val="009519B8"/>
    <w:rsid w:val="009528A4"/>
    <w:rsid w:val="0095390B"/>
    <w:rsid w:val="00953929"/>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669"/>
    <w:rsid w:val="009729A5"/>
    <w:rsid w:val="00972E86"/>
    <w:rsid w:val="00974237"/>
    <w:rsid w:val="00975BBB"/>
    <w:rsid w:val="00975F92"/>
    <w:rsid w:val="0097627A"/>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4024"/>
    <w:rsid w:val="009A579D"/>
    <w:rsid w:val="009A6811"/>
    <w:rsid w:val="009A6F8D"/>
    <w:rsid w:val="009A7FEA"/>
    <w:rsid w:val="009B05F4"/>
    <w:rsid w:val="009B0981"/>
    <w:rsid w:val="009B0FAF"/>
    <w:rsid w:val="009B1AF2"/>
    <w:rsid w:val="009B2AC7"/>
    <w:rsid w:val="009B2B01"/>
    <w:rsid w:val="009B2C74"/>
    <w:rsid w:val="009B2C7F"/>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37DF"/>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346"/>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59D"/>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44C"/>
    <w:rsid w:val="00A35F56"/>
    <w:rsid w:val="00A36590"/>
    <w:rsid w:val="00A36C6E"/>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47EAF"/>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696"/>
    <w:rsid w:val="00A57781"/>
    <w:rsid w:val="00A60767"/>
    <w:rsid w:val="00A60E28"/>
    <w:rsid w:val="00A61D11"/>
    <w:rsid w:val="00A61DEA"/>
    <w:rsid w:val="00A6202A"/>
    <w:rsid w:val="00A62337"/>
    <w:rsid w:val="00A63E71"/>
    <w:rsid w:val="00A6498F"/>
    <w:rsid w:val="00A64AAB"/>
    <w:rsid w:val="00A6502E"/>
    <w:rsid w:val="00A663C3"/>
    <w:rsid w:val="00A679EC"/>
    <w:rsid w:val="00A67B41"/>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0B5"/>
    <w:rsid w:val="00A90543"/>
    <w:rsid w:val="00A906BA"/>
    <w:rsid w:val="00A90CD8"/>
    <w:rsid w:val="00A91E82"/>
    <w:rsid w:val="00A92201"/>
    <w:rsid w:val="00A926B7"/>
    <w:rsid w:val="00A92855"/>
    <w:rsid w:val="00A92C42"/>
    <w:rsid w:val="00A93F03"/>
    <w:rsid w:val="00A94A2A"/>
    <w:rsid w:val="00A9578E"/>
    <w:rsid w:val="00A957D6"/>
    <w:rsid w:val="00A958AA"/>
    <w:rsid w:val="00A959E2"/>
    <w:rsid w:val="00A963DA"/>
    <w:rsid w:val="00A96713"/>
    <w:rsid w:val="00A97956"/>
    <w:rsid w:val="00AA0E65"/>
    <w:rsid w:val="00AA2805"/>
    <w:rsid w:val="00AA29D5"/>
    <w:rsid w:val="00AA2F7E"/>
    <w:rsid w:val="00AA332D"/>
    <w:rsid w:val="00AA3521"/>
    <w:rsid w:val="00AA3750"/>
    <w:rsid w:val="00AA3BC9"/>
    <w:rsid w:val="00AA486C"/>
    <w:rsid w:val="00AA4DDE"/>
    <w:rsid w:val="00AA5EC6"/>
    <w:rsid w:val="00AA66C7"/>
    <w:rsid w:val="00AA6833"/>
    <w:rsid w:val="00AA71B4"/>
    <w:rsid w:val="00AB024D"/>
    <w:rsid w:val="00AB0643"/>
    <w:rsid w:val="00AB08F2"/>
    <w:rsid w:val="00AB0993"/>
    <w:rsid w:val="00AB25F0"/>
    <w:rsid w:val="00AB2B8E"/>
    <w:rsid w:val="00AB475E"/>
    <w:rsid w:val="00AB4BAE"/>
    <w:rsid w:val="00AB574A"/>
    <w:rsid w:val="00AB5973"/>
    <w:rsid w:val="00AB6932"/>
    <w:rsid w:val="00AB73DE"/>
    <w:rsid w:val="00AB7F28"/>
    <w:rsid w:val="00AC005B"/>
    <w:rsid w:val="00AC0F5C"/>
    <w:rsid w:val="00AC1419"/>
    <w:rsid w:val="00AC1E75"/>
    <w:rsid w:val="00AC1FA7"/>
    <w:rsid w:val="00AC20BC"/>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EA4"/>
    <w:rsid w:val="00AF3286"/>
    <w:rsid w:val="00AF3325"/>
    <w:rsid w:val="00AF39E1"/>
    <w:rsid w:val="00AF4403"/>
    <w:rsid w:val="00AF4B41"/>
    <w:rsid w:val="00AF56D6"/>
    <w:rsid w:val="00AF631E"/>
    <w:rsid w:val="00AF64DA"/>
    <w:rsid w:val="00AF6D04"/>
    <w:rsid w:val="00AF6D08"/>
    <w:rsid w:val="00B01449"/>
    <w:rsid w:val="00B016A4"/>
    <w:rsid w:val="00B019AC"/>
    <w:rsid w:val="00B0220F"/>
    <w:rsid w:val="00B02264"/>
    <w:rsid w:val="00B02B4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24E"/>
    <w:rsid w:val="00B253F1"/>
    <w:rsid w:val="00B2567C"/>
    <w:rsid w:val="00B258BB"/>
    <w:rsid w:val="00B26273"/>
    <w:rsid w:val="00B3057C"/>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9DB"/>
    <w:rsid w:val="00B77F7E"/>
    <w:rsid w:val="00B80BB3"/>
    <w:rsid w:val="00B80D09"/>
    <w:rsid w:val="00B81380"/>
    <w:rsid w:val="00B81580"/>
    <w:rsid w:val="00B823CA"/>
    <w:rsid w:val="00B835C7"/>
    <w:rsid w:val="00B84409"/>
    <w:rsid w:val="00B85495"/>
    <w:rsid w:val="00B85611"/>
    <w:rsid w:val="00B85726"/>
    <w:rsid w:val="00B85E21"/>
    <w:rsid w:val="00B873CD"/>
    <w:rsid w:val="00B87676"/>
    <w:rsid w:val="00B90669"/>
    <w:rsid w:val="00B90937"/>
    <w:rsid w:val="00B9124A"/>
    <w:rsid w:val="00B91298"/>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EE9"/>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3D71"/>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5F50"/>
    <w:rsid w:val="00C26696"/>
    <w:rsid w:val="00C268F7"/>
    <w:rsid w:val="00C27AF1"/>
    <w:rsid w:val="00C27F99"/>
    <w:rsid w:val="00C301A6"/>
    <w:rsid w:val="00C30852"/>
    <w:rsid w:val="00C3236B"/>
    <w:rsid w:val="00C3238A"/>
    <w:rsid w:val="00C34FA5"/>
    <w:rsid w:val="00C373A8"/>
    <w:rsid w:val="00C37B2E"/>
    <w:rsid w:val="00C402C4"/>
    <w:rsid w:val="00C4072E"/>
    <w:rsid w:val="00C41603"/>
    <w:rsid w:val="00C43488"/>
    <w:rsid w:val="00C4375E"/>
    <w:rsid w:val="00C44065"/>
    <w:rsid w:val="00C44886"/>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1213"/>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8"/>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2B5"/>
    <w:rsid w:val="00CC3BCA"/>
    <w:rsid w:val="00CC4174"/>
    <w:rsid w:val="00CC5026"/>
    <w:rsid w:val="00CC620A"/>
    <w:rsid w:val="00CC6E55"/>
    <w:rsid w:val="00CC6F36"/>
    <w:rsid w:val="00CC7893"/>
    <w:rsid w:val="00CD0043"/>
    <w:rsid w:val="00CD03C0"/>
    <w:rsid w:val="00CD062D"/>
    <w:rsid w:val="00CD2555"/>
    <w:rsid w:val="00CD25A5"/>
    <w:rsid w:val="00CD26BC"/>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527D"/>
    <w:rsid w:val="00D0575F"/>
    <w:rsid w:val="00D06BF4"/>
    <w:rsid w:val="00D07272"/>
    <w:rsid w:val="00D078D2"/>
    <w:rsid w:val="00D109A0"/>
    <w:rsid w:val="00D10CAE"/>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59C"/>
    <w:rsid w:val="00D279AF"/>
    <w:rsid w:val="00D30117"/>
    <w:rsid w:val="00D30EF7"/>
    <w:rsid w:val="00D315AE"/>
    <w:rsid w:val="00D317F9"/>
    <w:rsid w:val="00D3235D"/>
    <w:rsid w:val="00D348D4"/>
    <w:rsid w:val="00D354F1"/>
    <w:rsid w:val="00D36ABF"/>
    <w:rsid w:val="00D36F8F"/>
    <w:rsid w:val="00D373B4"/>
    <w:rsid w:val="00D4060A"/>
    <w:rsid w:val="00D4061E"/>
    <w:rsid w:val="00D41202"/>
    <w:rsid w:val="00D42360"/>
    <w:rsid w:val="00D426E7"/>
    <w:rsid w:val="00D440F8"/>
    <w:rsid w:val="00D4418D"/>
    <w:rsid w:val="00D442AB"/>
    <w:rsid w:val="00D45372"/>
    <w:rsid w:val="00D45F2F"/>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2642"/>
    <w:rsid w:val="00D93CE7"/>
    <w:rsid w:val="00D93DA4"/>
    <w:rsid w:val="00D94335"/>
    <w:rsid w:val="00D94531"/>
    <w:rsid w:val="00D94B7E"/>
    <w:rsid w:val="00D95CAE"/>
    <w:rsid w:val="00D9718D"/>
    <w:rsid w:val="00DA0324"/>
    <w:rsid w:val="00DA0FB8"/>
    <w:rsid w:val="00DA1A0F"/>
    <w:rsid w:val="00DA25E1"/>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08C"/>
    <w:rsid w:val="00DD0EB9"/>
    <w:rsid w:val="00DD2737"/>
    <w:rsid w:val="00DD2AA9"/>
    <w:rsid w:val="00DD33A6"/>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8FA"/>
    <w:rsid w:val="00DF6272"/>
    <w:rsid w:val="00DF6345"/>
    <w:rsid w:val="00DF703B"/>
    <w:rsid w:val="00DF79DB"/>
    <w:rsid w:val="00DF7D0E"/>
    <w:rsid w:val="00E00CD9"/>
    <w:rsid w:val="00E01551"/>
    <w:rsid w:val="00E019C2"/>
    <w:rsid w:val="00E01B9A"/>
    <w:rsid w:val="00E022D3"/>
    <w:rsid w:val="00E02F75"/>
    <w:rsid w:val="00E03AF8"/>
    <w:rsid w:val="00E04062"/>
    <w:rsid w:val="00E04BD1"/>
    <w:rsid w:val="00E04BD9"/>
    <w:rsid w:val="00E050C7"/>
    <w:rsid w:val="00E051A2"/>
    <w:rsid w:val="00E0569C"/>
    <w:rsid w:val="00E05FED"/>
    <w:rsid w:val="00E064AA"/>
    <w:rsid w:val="00E066B2"/>
    <w:rsid w:val="00E06C72"/>
    <w:rsid w:val="00E06C7F"/>
    <w:rsid w:val="00E077A5"/>
    <w:rsid w:val="00E10343"/>
    <w:rsid w:val="00E113E7"/>
    <w:rsid w:val="00E11826"/>
    <w:rsid w:val="00E123F7"/>
    <w:rsid w:val="00E1469A"/>
    <w:rsid w:val="00E15361"/>
    <w:rsid w:val="00E1539B"/>
    <w:rsid w:val="00E157A1"/>
    <w:rsid w:val="00E157CD"/>
    <w:rsid w:val="00E15AC9"/>
    <w:rsid w:val="00E16778"/>
    <w:rsid w:val="00E1758F"/>
    <w:rsid w:val="00E179CE"/>
    <w:rsid w:val="00E2022D"/>
    <w:rsid w:val="00E20569"/>
    <w:rsid w:val="00E2059D"/>
    <w:rsid w:val="00E20C95"/>
    <w:rsid w:val="00E21F76"/>
    <w:rsid w:val="00E2251B"/>
    <w:rsid w:val="00E23240"/>
    <w:rsid w:val="00E236E8"/>
    <w:rsid w:val="00E242A7"/>
    <w:rsid w:val="00E243D1"/>
    <w:rsid w:val="00E25FA4"/>
    <w:rsid w:val="00E26EA4"/>
    <w:rsid w:val="00E27D80"/>
    <w:rsid w:val="00E30B66"/>
    <w:rsid w:val="00E3124B"/>
    <w:rsid w:val="00E32EF4"/>
    <w:rsid w:val="00E330E9"/>
    <w:rsid w:val="00E331F1"/>
    <w:rsid w:val="00E334F8"/>
    <w:rsid w:val="00E35004"/>
    <w:rsid w:val="00E356CA"/>
    <w:rsid w:val="00E35B05"/>
    <w:rsid w:val="00E35B62"/>
    <w:rsid w:val="00E36979"/>
    <w:rsid w:val="00E40E5A"/>
    <w:rsid w:val="00E41344"/>
    <w:rsid w:val="00E42EE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375"/>
    <w:rsid w:val="00E5382B"/>
    <w:rsid w:val="00E53897"/>
    <w:rsid w:val="00E53AC6"/>
    <w:rsid w:val="00E54045"/>
    <w:rsid w:val="00E55966"/>
    <w:rsid w:val="00E56910"/>
    <w:rsid w:val="00E56D73"/>
    <w:rsid w:val="00E5778F"/>
    <w:rsid w:val="00E577AB"/>
    <w:rsid w:val="00E577B1"/>
    <w:rsid w:val="00E57EC9"/>
    <w:rsid w:val="00E62AF5"/>
    <w:rsid w:val="00E63716"/>
    <w:rsid w:val="00E6374E"/>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6CDC"/>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D4C"/>
    <w:rsid w:val="00EE6163"/>
    <w:rsid w:val="00EE69E2"/>
    <w:rsid w:val="00EE6F57"/>
    <w:rsid w:val="00EE73A2"/>
    <w:rsid w:val="00EE753F"/>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6ED3"/>
    <w:rsid w:val="00EF7372"/>
    <w:rsid w:val="00EF7E99"/>
    <w:rsid w:val="00EF7F85"/>
    <w:rsid w:val="00F00067"/>
    <w:rsid w:val="00F000EE"/>
    <w:rsid w:val="00F0108E"/>
    <w:rsid w:val="00F011E2"/>
    <w:rsid w:val="00F01732"/>
    <w:rsid w:val="00F01AF1"/>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5898"/>
    <w:rsid w:val="00F1773B"/>
    <w:rsid w:val="00F20AF0"/>
    <w:rsid w:val="00F212F3"/>
    <w:rsid w:val="00F214CC"/>
    <w:rsid w:val="00F215B6"/>
    <w:rsid w:val="00F21643"/>
    <w:rsid w:val="00F219E1"/>
    <w:rsid w:val="00F21EA8"/>
    <w:rsid w:val="00F22B94"/>
    <w:rsid w:val="00F23507"/>
    <w:rsid w:val="00F2451F"/>
    <w:rsid w:val="00F2456B"/>
    <w:rsid w:val="00F2502D"/>
    <w:rsid w:val="00F25296"/>
    <w:rsid w:val="00F25D98"/>
    <w:rsid w:val="00F264B8"/>
    <w:rsid w:val="00F27E1D"/>
    <w:rsid w:val="00F300FB"/>
    <w:rsid w:val="00F30DDD"/>
    <w:rsid w:val="00F312D1"/>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20"/>
    <w:rsid w:val="00F45C34"/>
    <w:rsid w:val="00F45D50"/>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274"/>
    <w:rsid w:val="00F60B1F"/>
    <w:rsid w:val="00F6168A"/>
    <w:rsid w:val="00F61DCA"/>
    <w:rsid w:val="00F62252"/>
    <w:rsid w:val="00F627A7"/>
    <w:rsid w:val="00F63506"/>
    <w:rsid w:val="00F63B24"/>
    <w:rsid w:val="00F63F4A"/>
    <w:rsid w:val="00F64979"/>
    <w:rsid w:val="00F64CE0"/>
    <w:rsid w:val="00F65A28"/>
    <w:rsid w:val="00F66F8C"/>
    <w:rsid w:val="00F6723F"/>
    <w:rsid w:val="00F673A0"/>
    <w:rsid w:val="00F67DDA"/>
    <w:rsid w:val="00F71DA2"/>
    <w:rsid w:val="00F71DAD"/>
    <w:rsid w:val="00F74533"/>
    <w:rsid w:val="00F75299"/>
    <w:rsid w:val="00F756C0"/>
    <w:rsid w:val="00F7792E"/>
    <w:rsid w:val="00F80396"/>
    <w:rsid w:val="00F806BB"/>
    <w:rsid w:val="00F8204A"/>
    <w:rsid w:val="00F824CE"/>
    <w:rsid w:val="00F82513"/>
    <w:rsid w:val="00F8277F"/>
    <w:rsid w:val="00F82957"/>
    <w:rsid w:val="00F83E73"/>
    <w:rsid w:val="00F846B3"/>
    <w:rsid w:val="00F84DC1"/>
    <w:rsid w:val="00F8543F"/>
    <w:rsid w:val="00F85792"/>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2C4"/>
    <w:rsid w:val="00FB19AA"/>
    <w:rsid w:val="00FB24F8"/>
    <w:rsid w:val="00FB27EF"/>
    <w:rsid w:val="00FB304E"/>
    <w:rsid w:val="00FB55B5"/>
    <w:rsid w:val="00FB5F9D"/>
    <w:rsid w:val="00FB623F"/>
    <w:rsid w:val="00FB6386"/>
    <w:rsid w:val="00FB63F1"/>
    <w:rsid w:val="00FB67C3"/>
    <w:rsid w:val="00FB6882"/>
    <w:rsid w:val="00FB6C8C"/>
    <w:rsid w:val="00FB77A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75D"/>
    <w:rsid w:val="00FD2C7C"/>
    <w:rsid w:val="00FD3695"/>
    <w:rsid w:val="00FD3C51"/>
    <w:rsid w:val="00FD40B4"/>
    <w:rsid w:val="00FD45ED"/>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5C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
    <w:name w:val="Reference"/>
    <w:basedOn w:val="BodyText"/>
    <w:rsid w:val="007A7B8D"/>
    <w:pPr>
      <w:numPr>
        <w:numId w:val="4"/>
      </w:numPr>
      <w:tabs>
        <w:tab w:val="clear" w:pos="567"/>
        <w:tab w:val="num" w:pos="360"/>
      </w:tabs>
      <w:overflowPunct w:val="0"/>
      <w:autoSpaceDE w:val="0"/>
      <w:autoSpaceDN w:val="0"/>
      <w:adjustRightInd w:val="0"/>
      <w:ind w:left="0" w:firstLine="0"/>
      <w:jc w:val="both"/>
      <w:textAlignment w:val="baseline"/>
    </w:pPr>
    <w:rPr>
      <w:rFonts w:ascii="Arial" w:eastAsia="Times New Roman" w:hAnsi="Arial"/>
      <w:lang w:eastAsia="zh-CN"/>
    </w:rPr>
  </w:style>
  <w:style w:type="character" w:customStyle="1" w:styleId="Heading2Char">
    <w:name w:val="Heading 2 Char"/>
    <w:basedOn w:val="DefaultParagraphFont"/>
    <w:link w:val="Heading2"/>
    <w:rsid w:val="006F2139"/>
    <w:rPr>
      <w:rFonts w:ascii="Arial" w:hAnsi="Arial"/>
      <w:sz w:val="32"/>
      <w:lang w:val="en-GB" w:eastAsia="en-US"/>
    </w:rPr>
  </w:style>
  <w:style w:type="character" w:customStyle="1" w:styleId="CommentTextChar">
    <w:name w:val="Comment Text Char"/>
    <w:link w:val="CommentText"/>
    <w:uiPriority w:val="99"/>
    <w:rsid w:val="00CC32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70150400">
      <w:bodyDiv w:val="1"/>
      <w:marLeft w:val="0"/>
      <w:marRight w:val="0"/>
      <w:marTop w:val="0"/>
      <w:marBottom w:val="0"/>
      <w:divBdr>
        <w:top w:val="none" w:sz="0" w:space="0" w:color="auto"/>
        <w:left w:val="none" w:sz="0" w:space="0" w:color="auto"/>
        <w:bottom w:val="none" w:sz="0" w:space="0" w:color="auto"/>
        <w:right w:val="none" w:sz="0" w:space="0" w:color="auto"/>
      </w:divBdr>
      <w:divsChild>
        <w:div w:id="261381577">
          <w:marLeft w:val="1080"/>
          <w:marRight w:val="0"/>
          <w:marTop w:val="10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2280673">
      <w:bodyDiv w:val="1"/>
      <w:marLeft w:val="0"/>
      <w:marRight w:val="0"/>
      <w:marTop w:val="0"/>
      <w:marBottom w:val="0"/>
      <w:divBdr>
        <w:top w:val="none" w:sz="0" w:space="0" w:color="auto"/>
        <w:left w:val="none" w:sz="0" w:space="0" w:color="auto"/>
        <w:bottom w:val="none" w:sz="0" w:space="0" w:color="auto"/>
        <w:right w:val="none" w:sz="0" w:space="0" w:color="auto"/>
      </w:divBdr>
      <w:divsChild>
        <w:div w:id="405418088">
          <w:marLeft w:val="108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549196924">
      <w:bodyDiv w:val="1"/>
      <w:marLeft w:val="0"/>
      <w:marRight w:val="0"/>
      <w:marTop w:val="0"/>
      <w:marBottom w:val="0"/>
      <w:divBdr>
        <w:top w:val="none" w:sz="0" w:space="0" w:color="auto"/>
        <w:left w:val="none" w:sz="0" w:space="0" w:color="auto"/>
        <w:bottom w:val="none" w:sz="0" w:space="0" w:color="auto"/>
        <w:right w:val="none" w:sz="0" w:space="0" w:color="auto"/>
      </w:divBdr>
      <w:divsChild>
        <w:div w:id="1034236197">
          <w:marLeft w:val="360"/>
          <w:marRight w:val="0"/>
          <w:marTop w:val="0"/>
          <w:marBottom w:val="120"/>
          <w:divBdr>
            <w:top w:val="none" w:sz="0" w:space="0" w:color="auto"/>
            <w:left w:val="none" w:sz="0" w:space="0" w:color="auto"/>
            <w:bottom w:val="none" w:sz="0" w:space="0" w:color="auto"/>
            <w:right w:val="none" w:sz="0" w:space="0" w:color="auto"/>
          </w:divBdr>
        </w:div>
        <w:div w:id="2145612887">
          <w:marLeft w:val="1080"/>
          <w:marRight w:val="0"/>
          <w:marTop w:val="0"/>
          <w:marBottom w:val="120"/>
          <w:divBdr>
            <w:top w:val="none" w:sz="0" w:space="0" w:color="auto"/>
            <w:left w:val="none" w:sz="0" w:space="0" w:color="auto"/>
            <w:bottom w:val="none" w:sz="0" w:space="0" w:color="auto"/>
            <w:right w:val="none" w:sz="0" w:space="0" w:color="auto"/>
          </w:divBdr>
        </w:div>
        <w:div w:id="1667202807">
          <w:marLeft w:val="1080"/>
          <w:marRight w:val="0"/>
          <w:marTop w:val="0"/>
          <w:marBottom w:val="120"/>
          <w:divBdr>
            <w:top w:val="none" w:sz="0" w:space="0" w:color="auto"/>
            <w:left w:val="none" w:sz="0" w:space="0" w:color="auto"/>
            <w:bottom w:val="none" w:sz="0" w:space="0" w:color="auto"/>
            <w:right w:val="none" w:sz="0" w:space="0" w:color="auto"/>
          </w:divBdr>
        </w:div>
        <w:div w:id="2014335059">
          <w:marLeft w:val="1080"/>
          <w:marRight w:val="0"/>
          <w:marTop w:val="0"/>
          <w:marBottom w:val="120"/>
          <w:divBdr>
            <w:top w:val="none" w:sz="0" w:space="0" w:color="auto"/>
            <w:left w:val="none" w:sz="0" w:space="0" w:color="auto"/>
            <w:bottom w:val="none" w:sz="0" w:space="0" w:color="auto"/>
            <w:right w:val="none" w:sz="0" w:space="0" w:color="auto"/>
          </w:divBdr>
        </w:div>
        <w:div w:id="1252592276">
          <w:marLeft w:val="360"/>
          <w:marRight w:val="0"/>
          <w:marTop w:val="0"/>
          <w:marBottom w:val="120"/>
          <w:divBdr>
            <w:top w:val="none" w:sz="0" w:space="0" w:color="auto"/>
            <w:left w:val="none" w:sz="0" w:space="0" w:color="auto"/>
            <w:bottom w:val="none" w:sz="0" w:space="0" w:color="auto"/>
            <w:right w:val="none" w:sz="0" w:space="0" w:color="auto"/>
          </w:divBdr>
        </w:div>
        <w:div w:id="300840975">
          <w:marLeft w:val="1080"/>
          <w:marRight w:val="0"/>
          <w:marTop w:val="0"/>
          <w:marBottom w:val="120"/>
          <w:divBdr>
            <w:top w:val="none" w:sz="0" w:space="0" w:color="auto"/>
            <w:left w:val="none" w:sz="0" w:space="0" w:color="auto"/>
            <w:bottom w:val="none" w:sz="0" w:space="0" w:color="auto"/>
            <w:right w:val="none" w:sz="0" w:space="0" w:color="auto"/>
          </w:divBdr>
        </w:div>
        <w:div w:id="413018071">
          <w:marLeft w:val="1080"/>
          <w:marRight w:val="0"/>
          <w:marTop w:val="0"/>
          <w:marBottom w:val="120"/>
          <w:divBdr>
            <w:top w:val="none" w:sz="0" w:space="0" w:color="auto"/>
            <w:left w:val="none" w:sz="0" w:space="0" w:color="auto"/>
            <w:bottom w:val="none" w:sz="0" w:space="0" w:color="auto"/>
            <w:right w:val="none" w:sz="0" w:space="0" w:color="auto"/>
          </w:divBdr>
        </w:div>
        <w:div w:id="1336961238">
          <w:marLeft w:val="1080"/>
          <w:marRight w:val="0"/>
          <w:marTop w:val="0"/>
          <w:marBottom w:val="120"/>
          <w:divBdr>
            <w:top w:val="none" w:sz="0" w:space="0" w:color="auto"/>
            <w:left w:val="none" w:sz="0" w:space="0" w:color="auto"/>
            <w:bottom w:val="none" w:sz="0" w:space="0" w:color="auto"/>
            <w:right w:val="none" w:sz="0" w:space="0" w:color="auto"/>
          </w:divBdr>
        </w:div>
        <w:div w:id="996886791">
          <w:marLeft w:val="360"/>
          <w:marRight w:val="0"/>
          <w:marTop w:val="0"/>
          <w:marBottom w:val="120"/>
          <w:divBdr>
            <w:top w:val="none" w:sz="0" w:space="0" w:color="auto"/>
            <w:left w:val="none" w:sz="0" w:space="0" w:color="auto"/>
            <w:bottom w:val="none" w:sz="0" w:space="0" w:color="auto"/>
            <w:right w:val="none" w:sz="0" w:space="0" w:color="auto"/>
          </w:divBdr>
        </w:div>
        <w:div w:id="1933780094">
          <w:marLeft w:val="1080"/>
          <w:marRight w:val="0"/>
          <w:marTop w:val="0"/>
          <w:marBottom w:val="120"/>
          <w:divBdr>
            <w:top w:val="none" w:sz="0" w:space="0" w:color="auto"/>
            <w:left w:val="none" w:sz="0" w:space="0" w:color="auto"/>
            <w:bottom w:val="none" w:sz="0" w:space="0" w:color="auto"/>
            <w:right w:val="none" w:sz="0" w:space="0" w:color="auto"/>
          </w:divBdr>
        </w:div>
        <w:div w:id="1293751275">
          <w:marLeft w:val="1080"/>
          <w:marRight w:val="0"/>
          <w:marTop w:val="0"/>
          <w:marBottom w:val="12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4645060">
      <w:bodyDiv w:val="1"/>
      <w:marLeft w:val="0"/>
      <w:marRight w:val="0"/>
      <w:marTop w:val="0"/>
      <w:marBottom w:val="0"/>
      <w:divBdr>
        <w:top w:val="none" w:sz="0" w:space="0" w:color="auto"/>
        <w:left w:val="none" w:sz="0" w:space="0" w:color="auto"/>
        <w:bottom w:val="none" w:sz="0" w:space="0" w:color="auto"/>
        <w:right w:val="none" w:sz="0" w:space="0" w:color="auto"/>
      </w:divBdr>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67166887">
      <w:bodyDiv w:val="1"/>
      <w:marLeft w:val="0"/>
      <w:marRight w:val="0"/>
      <w:marTop w:val="0"/>
      <w:marBottom w:val="0"/>
      <w:divBdr>
        <w:top w:val="none" w:sz="0" w:space="0" w:color="auto"/>
        <w:left w:val="none" w:sz="0" w:space="0" w:color="auto"/>
        <w:bottom w:val="none" w:sz="0" w:space="0" w:color="auto"/>
        <w:right w:val="none" w:sz="0" w:space="0" w:color="auto"/>
      </w:divBdr>
      <w:divsChild>
        <w:div w:id="1432043035">
          <w:marLeft w:val="1080"/>
          <w:marRight w:val="0"/>
          <w:marTop w:val="100"/>
          <w:marBottom w:val="0"/>
          <w:divBdr>
            <w:top w:val="none" w:sz="0" w:space="0" w:color="auto"/>
            <w:left w:val="none" w:sz="0" w:space="0" w:color="auto"/>
            <w:bottom w:val="none" w:sz="0" w:space="0" w:color="auto"/>
            <w:right w:val="none" w:sz="0" w:space="0" w:color="auto"/>
          </w:divBdr>
        </w:div>
        <w:div w:id="705327987">
          <w:marLeft w:val="1800"/>
          <w:marRight w:val="0"/>
          <w:marTop w:val="100"/>
          <w:marBottom w:val="0"/>
          <w:divBdr>
            <w:top w:val="none" w:sz="0" w:space="0" w:color="auto"/>
            <w:left w:val="none" w:sz="0" w:space="0" w:color="auto"/>
            <w:bottom w:val="none" w:sz="0" w:space="0" w:color="auto"/>
            <w:right w:val="none" w:sz="0" w:space="0" w:color="auto"/>
          </w:divBdr>
        </w:div>
        <w:div w:id="1068303145">
          <w:marLeft w:val="2520"/>
          <w:marRight w:val="0"/>
          <w:marTop w:val="100"/>
          <w:marBottom w:val="0"/>
          <w:divBdr>
            <w:top w:val="none" w:sz="0" w:space="0" w:color="auto"/>
            <w:left w:val="none" w:sz="0" w:space="0" w:color="auto"/>
            <w:bottom w:val="none" w:sz="0" w:space="0" w:color="auto"/>
            <w:right w:val="none" w:sz="0" w:space="0" w:color="auto"/>
          </w:divBdr>
        </w:div>
        <w:div w:id="344093634">
          <w:marLeft w:val="2520"/>
          <w:marRight w:val="0"/>
          <w:marTop w:val="100"/>
          <w:marBottom w:val="0"/>
          <w:divBdr>
            <w:top w:val="none" w:sz="0" w:space="0" w:color="auto"/>
            <w:left w:val="none" w:sz="0" w:space="0" w:color="auto"/>
            <w:bottom w:val="none" w:sz="0" w:space="0" w:color="auto"/>
            <w:right w:val="none" w:sz="0" w:space="0" w:color="auto"/>
          </w:divBdr>
        </w:div>
        <w:div w:id="1331833564">
          <w:marLeft w:val="1800"/>
          <w:marRight w:val="0"/>
          <w:marTop w:val="100"/>
          <w:marBottom w:val="0"/>
          <w:divBdr>
            <w:top w:val="none" w:sz="0" w:space="0" w:color="auto"/>
            <w:left w:val="none" w:sz="0" w:space="0" w:color="auto"/>
            <w:bottom w:val="none" w:sz="0" w:space="0" w:color="auto"/>
            <w:right w:val="none" w:sz="0" w:space="0" w:color="auto"/>
          </w:divBdr>
        </w:div>
        <w:div w:id="372077101">
          <w:marLeft w:val="252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64751175">
      <w:bodyDiv w:val="1"/>
      <w:marLeft w:val="0"/>
      <w:marRight w:val="0"/>
      <w:marTop w:val="0"/>
      <w:marBottom w:val="0"/>
      <w:divBdr>
        <w:top w:val="none" w:sz="0" w:space="0" w:color="auto"/>
        <w:left w:val="none" w:sz="0" w:space="0" w:color="auto"/>
        <w:bottom w:val="none" w:sz="0" w:space="0" w:color="auto"/>
        <w:right w:val="none" w:sz="0" w:space="0" w:color="auto"/>
      </w:divBdr>
      <w:divsChild>
        <w:div w:id="1377467515">
          <w:marLeft w:val="1080"/>
          <w:marRight w:val="0"/>
          <w:marTop w:val="100"/>
          <w:marBottom w:val="0"/>
          <w:divBdr>
            <w:top w:val="none" w:sz="0" w:space="0" w:color="auto"/>
            <w:left w:val="none" w:sz="0" w:space="0" w:color="auto"/>
            <w:bottom w:val="none" w:sz="0" w:space="0" w:color="auto"/>
            <w:right w:val="none" w:sz="0" w:space="0" w:color="auto"/>
          </w:divBdr>
        </w:div>
        <w:div w:id="1581404029">
          <w:marLeft w:val="1080"/>
          <w:marRight w:val="0"/>
          <w:marTop w:val="100"/>
          <w:marBottom w:val="0"/>
          <w:divBdr>
            <w:top w:val="none" w:sz="0" w:space="0" w:color="auto"/>
            <w:left w:val="none" w:sz="0" w:space="0" w:color="auto"/>
            <w:bottom w:val="none" w:sz="0" w:space="0" w:color="auto"/>
            <w:right w:val="none" w:sz="0" w:space="0" w:color="auto"/>
          </w:divBdr>
        </w:div>
        <w:div w:id="1359117544">
          <w:marLeft w:val="1080"/>
          <w:marRight w:val="0"/>
          <w:marTop w:val="100"/>
          <w:marBottom w:val="0"/>
          <w:divBdr>
            <w:top w:val="none" w:sz="0" w:space="0" w:color="auto"/>
            <w:left w:val="none" w:sz="0" w:space="0" w:color="auto"/>
            <w:bottom w:val="none" w:sz="0" w:space="0" w:color="auto"/>
            <w:right w:val="none" w:sz="0" w:space="0" w:color="auto"/>
          </w:divBdr>
        </w:div>
        <w:div w:id="1606881297">
          <w:marLeft w:val="108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4182258">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363313">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9776149">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6459730">
      <w:bodyDiv w:val="1"/>
      <w:marLeft w:val="0"/>
      <w:marRight w:val="0"/>
      <w:marTop w:val="0"/>
      <w:marBottom w:val="0"/>
      <w:divBdr>
        <w:top w:val="none" w:sz="0" w:space="0" w:color="auto"/>
        <w:left w:val="none" w:sz="0" w:space="0" w:color="auto"/>
        <w:bottom w:val="none" w:sz="0" w:space="0" w:color="auto"/>
        <w:right w:val="none" w:sz="0" w:space="0" w:color="auto"/>
      </w:divBdr>
      <w:divsChild>
        <w:div w:id="1069883890">
          <w:marLeft w:val="360"/>
          <w:marRight w:val="0"/>
          <w:marTop w:val="200"/>
          <w:marBottom w:val="0"/>
          <w:divBdr>
            <w:top w:val="none" w:sz="0" w:space="0" w:color="auto"/>
            <w:left w:val="none" w:sz="0" w:space="0" w:color="auto"/>
            <w:bottom w:val="none" w:sz="0" w:space="0" w:color="auto"/>
            <w:right w:val="none" w:sz="0" w:space="0" w:color="auto"/>
          </w:divBdr>
        </w:div>
        <w:div w:id="1173715444">
          <w:marLeft w:val="1080"/>
          <w:marRight w:val="0"/>
          <w:marTop w:val="100"/>
          <w:marBottom w:val="0"/>
          <w:divBdr>
            <w:top w:val="none" w:sz="0" w:space="0" w:color="auto"/>
            <w:left w:val="none" w:sz="0" w:space="0" w:color="auto"/>
            <w:bottom w:val="none" w:sz="0" w:space="0" w:color="auto"/>
            <w:right w:val="none" w:sz="0" w:space="0" w:color="auto"/>
          </w:divBdr>
        </w:div>
        <w:div w:id="1323777642">
          <w:marLeft w:val="360"/>
          <w:marRight w:val="0"/>
          <w:marTop w:val="200"/>
          <w:marBottom w:val="0"/>
          <w:divBdr>
            <w:top w:val="none" w:sz="0" w:space="0" w:color="auto"/>
            <w:left w:val="none" w:sz="0" w:space="0" w:color="auto"/>
            <w:bottom w:val="none" w:sz="0" w:space="0" w:color="auto"/>
            <w:right w:val="none" w:sz="0" w:space="0" w:color="auto"/>
          </w:divBdr>
        </w:div>
        <w:div w:id="625084283">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6F040F35-508D-47DB-B6AE-BC1C39553696}">
  <ds:schemaRefs>
    <ds:schemaRef ds:uri="http://schemas.openxmlformats.org/officeDocument/2006/bibliography"/>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1849</TotalTime>
  <Pages>3</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220</cp:revision>
  <cp:lastPrinted>1899-12-31T23:00:00Z</cp:lastPrinted>
  <dcterms:created xsi:type="dcterms:W3CDTF">2020-12-17T02:20:00Z</dcterms:created>
  <dcterms:modified xsi:type="dcterms:W3CDTF">2022-02-14T12:43:00Z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